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FDBD" w14:textId="5617BF40" w:rsidR="00902705" w:rsidRPr="009A44CC" w:rsidRDefault="00643D15" w:rsidP="00B705FD">
      <w:pPr>
        <w:jc w:val="center"/>
        <w:rPr>
          <w:b/>
          <w:bCs/>
          <w:sz w:val="28"/>
          <w:szCs w:val="28"/>
          <w:u w:val="single"/>
        </w:rPr>
      </w:pPr>
      <w:r>
        <w:rPr>
          <w:b/>
          <w:bCs/>
          <w:noProof/>
          <w:sz w:val="28"/>
          <w:szCs w:val="28"/>
          <w:u w:val="single"/>
        </w:rPr>
        <mc:AlternateContent>
          <mc:Choice Requires="wps">
            <w:drawing>
              <wp:anchor distT="45720" distB="45720" distL="114300" distR="114300" simplePos="0" relativeHeight="251658240" behindDoc="0" locked="0" layoutInCell="1" allowOverlap="1" wp14:anchorId="00091CC4" wp14:editId="4E095C89">
                <wp:simplePos x="0" y="0"/>
                <wp:positionH relativeFrom="margin">
                  <wp:align>left</wp:align>
                </wp:positionH>
                <wp:positionV relativeFrom="paragraph">
                  <wp:posOffset>0</wp:posOffset>
                </wp:positionV>
                <wp:extent cx="5645785" cy="521970"/>
                <wp:effectExtent l="0" t="0" r="12065" b="18415"/>
                <wp:wrapSquare wrapText="bothSides"/>
                <wp:docPr id="277084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521970"/>
                        </a:xfrm>
                        <a:prstGeom prst="rect">
                          <a:avLst/>
                        </a:prstGeom>
                        <a:solidFill>
                          <a:srgbClr val="FFFFFF"/>
                        </a:solidFill>
                        <a:ln w="19050">
                          <a:solidFill>
                            <a:schemeClr val="tx1">
                              <a:lumMod val="100000"/>
                              <a:lumOff val="0"/>
                            </a:schemeClr>
                          </a:solidFill>
                          <a:miter lim="800000"/>
                          <a:headEnd/>
                          <a:tailEnd/>
                        </a:ln>
                      </wps:spPr>
                      <wps:txbx>
                        <w:txbxContent>
                          <w:p w14:paraId="05FB7408" w14:textId="62D70F5E" w:rsidR="00643D15" w:rsidRPr="00BC3350" w:rsidRDefault="00643D15" w:rsidP="00643D15">
                            <w:pPr>
                              <w:jc w:val="center"/>
                              <w:rPr>
                                <w:sz w:val="24"/>
                                <w:szCs w:val="24"/>
                              </w:rPr>
                            </w:pPr>
                            <w:r w:rsidRPr="00643D15">
                              <w:rPr>
                                <w:b/>
                                <w:bCs/>
                                <w:sz w:val="36"/>
                                <w:szCs w:val="36"/>
                                <w:u w:val="single"/>
                              </w:rPr>
                              <w:t>Consumables Contribution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091CC4" id="_x0000_t202" coordsize="21600,21600" o:spt="202" path="m,l,21600r21600,l21600,xe">
                <v:stroke joinstyle="miter"/>
                <v:path gradientshapeok="t" o:connecttype="rect"/>
              </v:shapetype>
              <v:shape id="Text Box 1" o:spid="_x0000_s1026" type="#_x0000_t202" style="position:absolute;left:0;text-align:left;margin-left:0;margin-top:0;width:444.55pt;height:41.1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" strokecolor="black [3213]" strokeweight="1.5pt">
                <v:textbox style="mso-fit-shape-to-text:t">
                  <w:txbxContent>
                    <w:p w14:paraId="05FB7408" w14:textId="62D70F5E" w:rsidR="00643D15" w:rsidRPr="00BC3350" w:rsidRDefault="00643D15" w:rsidP="00643D15">
                      <w:pPr>
                        <w:jc w:val="center"/>
                        <w:rPr>
                          <w:sz w:val="24"/>
                          <w:szCs w:val="24"/>
                        </w:rPr>
                      </w:pPr>
                      <w:r w:rsidRPr="00643D15">
                        <w:rPr>
                          <w:b/>
                          <w:bCs/>
                          <w:sz w:val="36"/>
                          <w:szCs w:val="36"/>
                          <w:u w:val="single"/>
                        </w:rPr>
                        <w:t>Consumables Contribution Policy</w:t>
                      </w:r>
                    </w:p>
                  </w:txbxContent>
                </v:textbox>
                <w10:wrap type="square" anchorx="margin"/>
              </v:shape>
            </w:pict>
          </mc:Fallback>
        </mc:AlternateContent>
      </w:r>
    </w:p>
    <w:p w14:paraId="3D3A3FAE" w14:textId="02CB3DCA" w:rsidR="00882832" w:rsidRPr="009A44CC" w:rsidRDefault="00882832">
      <w:pPr>
        <w:rPr>
          <w:sz w:val="24"/>
          <w:szCs w:val="24"/>
        </w:rPr>
      </w:pPr>
      <w:r w:rsidRPr="009A44CC">
        <w:rPr>
          <w:sz w:val="24"/>
          <w:szCs w:val="24"/>
        </w:rPr>
        <w:t>Every day at our nursery is an opportunity to explore, learn, and grow! We provide a welcoming, all-inclusive space full of exciting experiences, creative resources, and caring support that goes above and beyond the EYFS requirements.</w:t>
      </w:r>
      <w:r w:rsidR="001C57EC" w:rsidRPr="009A44CC">
        <w:rPr>
          <w:sz w:val="24"/>
          <w:szCs w:val="24"/>
        </w:rPr>
        <w:t xml:space="preserve"> </w:t>
      </w:r>
    </w:p>
    <w:p w14:paraId="0FBD3B62" w14:textId="12F98180" w:rsidR="00B87412" w:rsidRPr="009A44CC" w:rsidRDefault="00B87412" w:rsidP="00B87412">
      <w:pPr>
        <w:rPr>
          <w:sz w:val="24"/>
          <w:szCs w:val="24"/>
        </w:rPr>
      </w:pPr>
      <w:r w:rsidRPr="009A44CC">
        <w:rPr>
          <w:sz w:val="24"/>
          <w:szCs w:val="24"/>
        </w:rPr>
        <w:t>Government funding is designed to contribute towards the cost of childcare, but it does not cover the full cost of provision. It excludes key additional items such as meals, wipes, creams,</w:t>
      </w:r>
      <w:r w:rsidR="00C917D0" w:rsidRPr="009A44CC">
        <w:rPr>
          <w:sz w:val="24"/>
          <w:szCs w:val="24"/>
        </w:rPr>
        <w:t xml:space="preserve"> </w:t>
      </w:r>
      <w:r w:rsidR="006176EE" w:rsidRPr="009A44CC">
        <w:rPr>
          <w:sz w:val="24"/>
          <w:szCs w:val="24"/>
        </w:rPr>
        <w:t>Calpol</w:t>
      </w:r>
      <w:r w:rsidRPr="009A44CC">
        <w:rPr>
          <w:sz w:val="24"/>
          <w:szCs w:val="24"/>
        </w:rPr>
        <w:t>, baking, trips, and other enhanced learning experiences.</w:t>
      </w:r>
    </w:p>
    <w:p w14:paraId="699BC5A3" w14:textId="77777777" w:rsidR="00B87412" w:rsidRPr="009A44CC" w:rsidRDefault="00B87412" w:rsidP="00B87412">
      <w:pPr>
        <w:rPr>
          <w:sz w:val="24"/>
          <w:szCs w:val="24"/>
        </w:rPr>
      </w:pPr>
      <w:r w:rsidRPr="009A44CC">
        <w:rPr>
          <w:sz w:val="24"/>
          <w:szCs w:val="24"/>
        </w:rPr>
        <w:t xml:space="preserve">Families using government funding—either to fully or partially cover session costs—may choose to </w:t>
      </w:r>
      <w:r w:rsidRPr="009A44CC">
        <w:rPr>
          <w:b/>
          <w:bCs/>
          <w:sz w:val="24"/>
          <w:szCs w:val="24"/>
        </w:rPr>
        <w:t>opt in or out</w:t>
      </w:r>
      <w:r w:rsidRPr="009A44CC">
        <w:rPr>
          <w:sz w:val="24"/>
          <w:szCs w:val="24"/>
        </w:rPr>
        <w:t xml:space="preserve"> of meals and additional activities.</w:t>
      </w:r>
    </w:p>
    <w:p w14:paraId="17F9F069" w14:textId="77777777" w:rsidR="00B87412" w:rsidRPr="009A44CC" w:rsidRDefault="00B87412" w:rsidP="00B87412">
      <w:pPr>
        <w:rPr>
          <w:sz w:val="24"/>
          <w:szCs w:val="24"/>
        </w:rPr>
      </w:pPr>
      <w:r w:rsidRPr="009A44CC">
        <w:rPr>
          <w:sz w:val="24"/>
          <w:szCs w:val="24"/>
        </w:rPr>
        <w:t xml:space="preserve">Those opting out will be required to provide their own consumables and meals, in line with our </w:t>
      </w:r>
      <w:r w:rsidRPr="009A44CC">
        <w:rPr>
          <w:b/>
          <w:bCs/>
          <w:sz w:val="24"/>
          <w:szCs w:val="24"/>
        </w:rPr>
        <w:t>Packed Lunch Policy</w:t>
      </w:r>
      <w:r w:rsidRPr="009A44CC">
        <w:rPr>
          <w:sz w:val="24"/>
          <w:szCs w:val="24"/>
        </w:rPr>
        <w:t>, which can be found on our website.</w:t>
      </w:r>
    </w:p>
    <w:p w14:paraId="7D1FA3C4" w14:textId="77777777" w:rsidR="00965733" w:rsidRPr="009A44CC" w:rsidRDefault="00965733" w:rsidP="00965733">
      <w:pPr>
        <w:rPr>
          <w:b/>
          <w:bCs/>
          <w:sz w:val="24"/>
          <w:szCs w:val="24"/>
          <w:u w:val="single"/>
        </w:rPr>
      </w:pPr>
      <w:r w:rsidRPr="009A44CC">
        <w:rPr>
          <w:b/>
          <w:bCs/>
          <w:sz w:val="24"/>
          <w:szCs w:val="24"/>
          <w:u w:val="single"/>
        </w:rPr>
        <w:t xml:space="preserve">Voluntary Contributions </w:t>
      </w:r>
    </w:p>
    <w:p w14:paraId="761DDBDB" w14:textId="330FB857" w:rsidR="00965733" w:rsidRPr="009A44CC" w:rsidRDefault="00965733" w:rsidP="00965733">
      <w:pPr>
        <w:rPr>
          <w:sz w:val="24"/>
          <w:szCs w:val="24"/>
        </w:rPr>
      </w:pPr>
      <w:r w:rsidRPr="009A44CC">
        <w:rPr>
          <w:sz w:val="24"/>
          <w:szCs w:val="24"/>
        </w:rPr>
        <w:t>In accordance with current government guidance, any charges relating to consumables or additional activities are voluntary. Parents and carers are not obliged to make these contributions for their child to access their funded entitlement hours.</w:t>
      </w:r>
    </w:p>
    <w:p w14:paraId="72886029" w14:textId="67CF2F8F" w:rsidR="00965733" w:rsidRPr="009A44CC" w:rsidRDefault="00965733" w:rsidP="00965733">
      <w:pPr>
        <w:rPr>
          <w:sz w:val="24"/>
          <w:szCs w:val="24"/>
        </w:rPr>
      </w:pPr>
      <w:r w:rsidRPr="009A44CC">
        <w:rPr>
          <w:sz w:val="24"/>
          <w:szCs w:val="24"/>
        </w:rPr>
        <w:t xml:space="preserve">We do, however, invite families to support our </w:t>
      </w:r>
      <w:r w:rsidRPr="009A44CC">
        <w:rPr>
          <w:b/>
          <w:bCs/>
          <w:sz w:val="24"/>
          <w:szCs w:val="24"/>
        </w:rPr>
        <w:t>Consumables</w:t>
      </w:r>
      <w:r w:rsidRPr="009A44CC">
        <w:rPr>
          <w:sz w:val="24"/>
          <w:szCs w:val="24"/>
        </w:rPr>
        <w:t>, which enables us to enhance the quality of our provision and maintain a well-resourced environment.</w:t>
      </w:r>
    </w:p>
    <w:p w14:paraId="165C1167" w14:textId="77777777" w:rsidR="00643D15" w:rsidRDefault="00965733" w:rsidP="00643D15">
      <w:pPr>
        <w:rPr>
          <w:sz w:val="24"/>
          <w:szCs w:val="24"/>
        </w:rPr>
      </w:pPr>
      <w:r w:rsidRPr="00643D15">
        <w:rPr>
          <w:sz w:val="24"/>
          <w:szCs w:val="24"/>
        </w:rPr>
        <w:t>This contribution supports the cost of:</w:t>
      </w:r>
    </w:p>
    <w:p w14:paraId="7AAFDC76" w14:textId="77777777" w:rsidR="00643D15" w:rsidRDefault="00965733" w:rsidP="00643D15">
      <w:pPr>
        <w:pStyle w:val="ListParagraph"/>
        <w:numPr>
          <w:ilvl w:val="0"/>
          <w:numId w:val="2"/>
        </w:numPr>
        <w:rPr>
          <w:sz w:val="24"/>
          <w:szCs w:val="24"/>
        </w:rPr>
      </w:pPr>
      <w:r w:rsidRPr="00643D15">
        <w:rPr>
          <w:b/>
          <w:bCs/>
          <w:sz w:val="24"/>
          <w:szCs w:val="24"/>
        </w:rPr>
        <w:t>Consumables</w:t>
      </w:r>
      <w:r w:rsidRPr="00643D15">
        <w:rPr>
          <w:sz w:val="24"/>
          <w:szCs w:val="24"/>
        </w:rPr>
        <w:t xml:space="preserve"> – including nappy sacks, </w:t>
      </w:r>
      <w:r w:rsidR="006D4E88" w:rsidRPr="00643D15">
        <w:rPr>
          <w:sz w:val="24"/>
          <w:szCs w:val="24"/>
        </w:rPr>
        <w:t>wipes</w:t>
      </w:r>
      <w:r w:rsidRPr="00643D15">
        <w:rPr>
          <w:sz w:val="24"/>
          <w:szCs w:val="24"/>
        </w:rPr>
        <w:t>,</w:t>
      </w:r>
      <w:r w:rsidR="006D4E88" w:rsidRPr="00643D15">
        <w:rPr>
          <w:sz w:val="24"/>
          <w:szCs w:val="24"/>
        </w:rPr>
        <w:t xml:space="preserve"> cream, </w:t>
      </w:r>
      <w:r w:rsidRPr="00643D15">
        <w:rPr>
          <w:sz w:val="24"/>
          <w:szCs w:val="24"/>
        </w:rPr>
        <w:t>flannels, and other care-related items.</w:t>
      </w:r>
    </w:p>
    <w:p w14:paraId="0F3CFC38" w14:textId="77777777" w:rsidR="00902705" w:rsidRPr="009A44CC" w:rsidRDefault="00902705">
      <w:pPr>
        <w:rPr>
          <w:b/>
          <w:bCs/>
          <w:sz w:val="24"/>
          <w:szCs w:val="24"/>
          <w:u w:val="single"/>
        </w:rPr>
      </w:pPr>
      <w:r w:rsidRPr="009A44CC">
        <w:rPr>
          <w:b/>
          <w:bCs/>
          <w:sz w:val="24"/>
          <w:szCs w:val="24"/>
          <w:u w:val="single"/>
        </w:rPr>
        <w:t xml:space="preserve">Why We Ask for Contributions </w:t>
      </w:r>
    </w:p>
    <w:p w14:paraId="16F75ECD" w14:textId="13429E44" w:rsidR="00662B05" w:rsidRPr="009A44CC" w:rsidRDefault="00662B05" w:rsidP="00662B05">
      <w:pPr>
        <w:rPr>
          <w:sz w:val="24"/>
          <w:szCs w:val="24"/>
        </w:rPr>
      </w:pPr>
      <w:r w:rsidRPr="009A44CC">
        <w:rPr>
          <w:sz w:val="24"/>
          <w:szCs w:val="24"/>
        </w:rPr>
        <w:t>Voluntary contributions play an important role in helping us sustain the exceptional standard of care and education we provide. They allow us to deliver a curriculum rich in curiosity</w:t>
      </w:r>
      <w:r w:rsidR="005A7A18" w:rsidRPr="009A44CC">
        <w:rPr>
          <w:sz w:val="24"/>
          <w:szCs w:val="24"/>
        </w:rPr>
        <w:t xml:space="preserve"> and </w:t>
      </w:r>
      <w:r w:rsidRPr="009A44CC">
        <w:rPr>
          <w:sz w:val="24"/>
          <w:szCs w:val="24"/>
        </w:rPr>
        <w:t>creativity.</w:t>
      </w:r>
    </w:p>
    <w:p w14:paraId="42CB7B84" w14:textId="77777777" w:rsidR="00643D15" w:rsidRPr="00643D15" w:rsidRDefault="00662B05" w:rsidP="00643D15">
      <w:pPr>
        <w:rPr>
          <w:sz w:val="24"/>
          <w:szCs w:val="24"/>
        </w:rPr>
      </w:pPr>
      <w:r w:rsidRPr="00643D15">
        <w:rPr>
          <w:sz w:val="24"/>
          <w:szCs w:val="24"/>
        </w:rPr>
        <w:t>With your support, we can:</w:t>
      </w:r>
    </w:p>
    <w:p w14:paraId="0748DDAB" w14:textId="77777777" w:rsidR="00643D15" w:rsidRDefault="00662B05" w:rsidP="00643D15">
      <w:pPr>
        <w:pStyle w:val="ListParagraph"/>
        <w:numPr>
          <w:ilvl w:val="0"/>
          <w:numId w:val="3"/>
        </w:numPr>
        <w:rPr>
          <w:sz w:val="24"/>
          <w:szCs w:val="24"/>
        </w:rPr>
      </w:pPr>
      <w:r w:rsidRPr="00643D15">
        <w:rPr>
          <w:sz w:val="24"/>
          <w:szCs w:val="24"/>
        </w:rPr>
        <w:t>Continue to offer a comprehensive, all-inclusive service for working parent</w:t>
      </w:r>
    </w:p>
    <w:p w14:paraId="79A8718F" w14:textId="77777777" w:rsidR="00643D15" w:rsidRDefault="00662B05" w:rsidP="00643D15">
      <w:pPr>
        <w:pStyle w:val="ListParagraph"/>
        <w:numPr>
          <w:ilvl w:val="0"/>
          <w:numId w:val="3"/>
        </w:numPr>
        <w:rPr>
          <w:sz w:val="24"/>
          <w:szCs w:val="24"/>
        </w:rPr>
      </w:pPr>
      <w:r w:rsidRPr="00643D15">
        <w:rPr>
          <w:sz w:val="24"/>
          <w:szCs w:val="24"/>
        </w:rPr>
        <w:t>Provide specialist sessions and high-quality enrichment experiences for childre</w:t>
      </w:r>
      <w:r w:rsidR="00643D15">
        <w:rPr>
          <w:sz w:val="24"/>
          <w:szCs w:val="24"/>
        </w:rPr>
        <w:t>n</w:t>
      </w:r>
    </w:p>
    <w:p w14:paraId="722F6414" w14:textId="77777777" w:rsidR="00643D15" w:rsidRDefault="00662B05" w:rsidP="00643D15">
      <w:pPr>
        <w:pStyle w:val="ListParagraph"/>
        <w:numPr>
          <w:ilvl w:val="0"/>
          <w:numId w:val="3"/>
        </w:numPr>
        <w:rPr>
          <w:sz w:val="24"/>
          <w:szCs w:val="24"/>
        </w:rPr>
      </w:pPr>
      <w:r w:rsidRPr="00643D15">
        <w:rPr>
          <w:sz w:val="24"/>
          <w:szCs w:val="24"/>
        </w:rPr>
        <w:t>Celebrate cultural and seasonal events with meaningful resources and activities</w:t>
      </w:r>
    </w:p>
    <w:p w14:paraId="2AFCAF66" w14:textId="3ECDA493" w:rsidR="00662B05" w:rsidRPr="00643D15" w:rsidRDefault="00662B05" w:rsidP="00643D15">
      <w:pPr>
        <w:pStyle w:val="ListParagraph"/>
        <w:numPr>
          <w:ilvl w:val="0"/>
          <w:numId w:val="3"/>
        </w:numPr>
        <w:rPr>
          <w:sz w:val="24"/>
          <w:szCs w:val="24"/>
        </w:rPr>
      </w:pPr>
      <w:r w:rsidRPr="00643D15">
        <w:rPr>
          <w:sz w:val="24"/>
          <w:szCs w:val="24"/>
        </w:rPr>
        <w:t>Uphold our high standards in hygiene, comfort, and wellbeing</w:t>
      </w:r>
    </w:p>
    <w:p w14:paraId="16CBC305" w14:textId="77777777" w:rsidR="00902705" w:rsidRPr="009A44CC" w:rsidRDefault="00902705">
      <w:pPr>
        <w:rPr>
          <w:b/>
          <w:bCs/>
          <w:sz w:val="24"/>
          <w:szCs w:val="24"/>
          <w:u w:val="single"/>
        </w:rPr>
      </w:pPr>
      <w:r w:rsidRPr="009A44CC">
        <w:rPr>
          <w:b/>
          <w:bCs/>
          <w:sz w:val="24"/>
          <w:szCs w:val="24"/>
          <w:u w:val="single"/>
        </w:rPr>
        <w:t xml:space="preserve">Opting Out </w:t>
      </w:r>
    </w:p>
    <w:p w14:paraId="51CD9FDD" w14:textId="1C723D2B" w:rsidR="001C7181" w:rsidRPr="009A44CC" w:rsidRDefault="001C7181" w:rsidP="001C7181">
      <w:pPr>
        <w:rPr>
          <w:sz w:val="24"/>
          <w:szCs w:val="24"/>
        </w:rPr>
      </w:pPr>
      <w:r w:rsidRPr="009A44CC">
        <w:rPr>
          <w:sz w:val="24"/>
          <w:szCs w:val="24"/>
        </w:rPr>
        <w:t>We recognise</w:t>
      </w:r>
      <w:r w:rsidR="009B3EC0" w:rsidRPr="009A44CC">
        <w:rPr>
          <w:sz w:val="24"/>
          <w:szCs w:val="24"/>
        </w:rPr>
        <w:t xml:space="preserve"> and completely understand</w:t>
      </w:r>
      <w:r w:rsidRPr="009A44CC">
        <w:rPr>
          <w:sz w:val="24"/>
          <w:szCs w:val="24"/>
        </w:rPr>
        <w:t xml:space="preserve"> that some families may decide not to make the Consumables or Activities contribution. In such circumstances, your child will </w:t>
      </w:r>
      <w:r w:rsidRPr="009A44CC">
        <w:rPr>
          <w:sz w:val="24"/>
          <w:szCs w:val="24"/>
        </w:rPr>
        <w:lastRenderedPageBreak/>
        <w:t>continue to receive their funded hours and full access to the Early Years Foundation Stage (EYFS) curriculum.</w:t>
      </w:r>
    </w:p>
    <w:p w14:paraId="15FFF403" w14:textId="169E9C83" w:rsidR="00643D15" w:rsidRDefault="001C7181" w:rsidP="00643D15">
      <w:pPr>
        <w:rPr>
          <w:sz w:val="24"/>
          <w:szCs w:val="24"/>
        </w:rPr>
      </w:pPr>
      <w:r w:rsidRPr="00643D15">
        <w:rPr>
          <w:sz w:val="24"/>
          <w:szCs w:val="24"/>
        </w:rPr>
        <w:t>Please note, however, that children may not be able to participate in some additional experiences or receive items included in our all-inclusive provision. This may include:</w:t>
      </w:r>
      <w:r w:rsidRPr="00643D15">
        <w:rPr>
          <w:sz w:val="24"/>
          <w:szCs w:val="24"/>
        </w:rPr>
        <w:br/>
        <w:t>Parents being required to supply their own consumables</w:t>
      </w:r>
    </w:p>
    <w:p w14:paraId="4EDBAA23" w14:textId="2312742F" w:rsidR="00643D15" w:rsidRPr="00643D15" w:rsidRDefault="001C7181" w:rsidP="00643D15">
      <w:pPr>
        <w:pStyle w:val="ListParagraph"/>
        <w:numPr>
          <w:ilvl w:val="0"/>
          <w:numId w:val="8"/>
        </w:numPr>
        <w:rPr>
          <w:sz w:val="24"/>
          <w:szCs w:val="24"/>
        </w:rPr>
      </w:pPr>
      <w:r w:rsidRPr="00643D15">
        <w:rPr>
          <w:sz w:val="24"/>
          <w:szCs w:val="24"/>
        </w:rPr>
        <w:t>Limited access to certain extra-curricular</w:t>
      </w:r>
      <w:r w:rsidR="00BF41EF" w:rsidRPr="00643D15">
        <w:rPr>
          <w:sz w:val="24"/>
          <w:szCs w:val="24"/>
        </w:rPr>
        <w:t>, Montessori teaching</w:t>
      </w:r>
      <w:r w:rsidRPr="00643D15">
        <w:rPr>
          <w:sz w:val="24"/>
          <w:szCs w:val="24"/>
        </w:rPr>
        <w:t xml:space="preserve"> or celebratory event</w:t>
      </w:r>
      <w:r w:rsidR="00643D15" w:rsidRPr="00643D15">
        <w:rPr>
          <w:sz w:val="24"/>
          <w:szCs w:val="24"/>
        </w:rPr>
        <w:t>s</w:t>
      </w:r>
    </w:p>
    <w:p w14:paraId="587AD353" w14:textId="30A897FE" w:rsidR="001C7181" w:rsidRPr="00643D15" w:rsidRDefault="001C7181" w:rsidP="00643D15">
      <w:pPr>
        <w:pStyle w:val="ListParagraph"/>
        <w:numPr>
          <w:ilvl w:val="0"/>
          <w:numId w:val="6"/>
        </w:numPr>
        <w:rPr>
          <w:sz w:val="24"/>
          <w:szCs w:val="24"/>
        </w:rPr>
      </w:pPr>
      <w:r w:rsidRPr="00643D15">
        <w:rPr>
          <w:sz w:val="24"/>
          <w:szCs w:val="24"/>
        </w:rPr>
        <w:t>The unavailability of some enhancements that extend beyond the EYFS curriculum</w:t>
      </w:r>
    </w:p>
    <w:p w14:paraId="376C4AD1" w14:textId="77777777" w:rsidR="00902705" w:rsidRPr="009A44CC" w:rsidRDefault="00902705">
      <w:pPr>
        <w:rPr>
          <w:b/>
          <w:bCs/>
          <w:sz w:val="24"/>
          <w:szCs w:val="24"/>
          <w:u w:val="single"/>
        </w:rPr>
      </w:pPr>
      <w:r w:rsidRPr="009A44CC">
        <w:rPr>
          <w:b/>
          <w:bCs/>
          <w:sz w:val="24"/>
          <w:szCs w:val="24"/>
          <w:u w:val="single"/>
        </w:rPr>
        <w:t xml:space="preserve">Keeping Costs Low </w:t>
      </w:r>
    </w:p>
    <w:p w14:paraId="64CB3D90" w14:textId="6162DDB5" w:rsidR="00C0539D" w:rsidRPr="009A44CC" w:rsidRDefault="00C0539D" w:rsidP="00C0539D">
      <w:pPr>
        <w:rPr>
          <w:sz w:val="24"/>
          <w:szCs w:val="24"/>
        </w:rPr>
      </w:pPr>
      <w:r w:rsidRPr="009A44CC">
        <w:rPr>
          <w:sz w:val="24"/>
          <w:szCs w:val="24"/>
        </w:rPr>
        <w:t xml:space="preserve">We are committed to keeping our contribution costs as affordable as possible for families. </w:t>
      </w:r>
      <w:r w:rsidR="00F42726">
        <w:rPr>
          <w:sz w:val="24"/>
          <w:szCs w:val="24"/>
        </w:rPr>
        <w:t xml:space="preserve">Parents who choose to opt in can make their own package for meals and consumables from our list or you can opt in for our favourite discounted rate.  </w:t>
      </w:r>
    </w:p>
    <w:p w14:paraId="6405B738" w14:textId="77777777" w:rsidR="00C0539D" w:rsidRPr="009A44CC" w:rsidRDefault="00C0539D" w:rsidP="00C0539D">
      <w:pPr>
        <w:rPr>
          <w:sz w:val="24"/>
          <w:szCs w:val="24"/>
        </w:rPr>
      </w:pPr>
      <w:r w:rsidRPr="009A44CC">
        <w:rPr>
          <w:sz w:val="24"/>
          <w:szCs w:val="24"/>
        </w:rPr>
        <w:t>We encourage families to contact us if they wish to discuss contributions or any financial concerns. Conversations will always be handled sensitively and confidentially.</w:t>
      </w:r>
    </w:p>
    <w:p w14:paraId="1CFDF969" w14:textId="55924E30" w:rsidR="00D00393" w:rsidRPr="009A44CC" w:rsidRDefault="00D00393" w:rsidP="00D00393">
      <w:pPr>
        <w:rPr>
          <w:sz w:val="24"/>
          <w:szCs w:val="24"/>
        </w:rPr>
      </w:pPr>
      <w:r w:rsidRPr="009A44CC">
        <w:rPr>
          <w:sz w:val="24"/>
          <w:szCs w:val="24"/>
        </w:rPr>
        <w:t>Your selection to opt in or out of meals and additional activities will remain in place for the duration of the term.</w:t>
      </w:r>
      <w:r w:rsidRPr="009A44CC">
        <w:rPr>
          <w:sz w:val="24"/>
          <w:szCs w:val="24"/>
        </w:rPr>
        <w:br/>
        <w:t>Should you wish to make changes to your preference, please email the setting; any updates will take effect from the following term.</w:t>
      </w:r>
    </w:p>
    <w:p w14:paraId="5655E48B" w14:textId="77777777" w:rsidR="00D00393" w:rsidRPr="00643D15" w:rsidRDefault="00D00393" w:rsidP="00643D15">
      <w:pPr>
        <w:rPr>
          <w:sz w:val="24"/>
          <w:szCs w:val="24"/>
        </w:rPr>
      </w:pPr>
      <w:r w:rsidRPr="00643D15">
        <w:rPr>
          <w:sz w:val="24"/>
          <w:szCs w:val="24"/>
        </w:rPr>
        <w:t>Refunds or discounts cannot be issued for sessions not attended due to holidays or illness.</w:t>
      </w:r>
    </w:p>
    <w:p w14:paraId="4A52CD7D" w14:textId="77777777" w:rsidR="00C0539D" w:rsidRPr="009A44CC" w:rsidRDefault="00C0539D" w:rsidP="00C0539D">
      <w:pPr>
        <w:rPr>
          <w:sz w:val="24"/>
          <w:szCs w:val="24"/>
        </w:rPr>
      </w:pPr>
      <w:r w:rsidRPr="009A44CC">
        <w:rPr>
          <w:sz w:val="24"/>
          <w:szCs w:val="24"/>
        </w:rPr>
        <w:t>We sincerely appreciate your support in helping us maintain the high standards and enriching provision that underpin our nursery’s commitment to excellence.</w:t>
      </w:r>
    </w:p>
    <w:tbl>
      <w:tblPr>
        <w:tblW w:w="9666" w:type="dxa"/>
        <w:tblCellMar>
          <w:left w:w="10" w:type="dxa"/>
          <w:right w:w="10" w:type="dxa"/>
        </w:tblCellMar>
        <w:tblLook w:val="0000" w:firstRow="0" w:lastRow="0" w:firstColumn="0" w:lastColumn="0" w:noHBand="0" w:noVBand="0"/>
      </w:tblPr>
      <w:tblGrid>
        <w:gridCol w:w="4528"/>
        <w:gridCol w:w="5138"/>
      </w:tblGrid>
      <w:tr w:rsidR="00643D15" w:rsidRPr="00CD2805" w14:paraId="61708CFC" w14:textId="77777777" w:rsidTr="001C186A">
        <w:trPr>
          <w:trHeight w:val="454"/>
        </w:trPr>
        <w:tc>
          <w:tcPr>
            <w:tcW w:w="4528" w:type="dxa"/>
            <w:vMerge w:val="restart"/>
            <w:tcMar>
              <w:top w:w="0" w:type="dxa"/>
              <w:left w:w="108" w:type="dxa"/>
              <w:bottom w:w="0" w:type="dxa"/>
              <w:right w:w="108" w:type="dxa"/>
            </w:tcMar>
          </w:tcPr>
          <w:p w14:paraId="39800DCE" w14:textId="77777777" w:rsidR="00643D15" w:rsidRDefault="00643D15" w:rsidP="001C186A">
            <w:pPr>
              <w:pStyle w:val="Header"/>
              <w:tabs>
                <w:tab w:val="left" w:pos="720"/>
              </w:tabs>
              <w:ind w:left="360"/>
              <w:rPr>
                <w:rFonts w:ascii="Arial" w:hAnsi="Arial" w:cs="Arial"/>
                <w:i/>
                <w:sz w:val="24"/>
                <w:szCs w:val="24"/>
              </w:rPr>
            </w:pPr>
          </w:p>
          <w:p w14:paraId="651BAA0D" w14:textId="46C2C804" w:rsidR="00643D15" w:rsidRPr="00CD2805" w:rsidRDefault="00643D15" w:rsidP="00643D15">
            <w:pPr>
              <w:pStyle w:val="Header"/>
              <w:tabs>
                <w:tab w:val="left" w:pos="720"/>
              </w:tabs>
              <w:rPr>
                <w:rFonts w:ascii="Arial" w:hAnsi="Arial" w:cs="Arial"/>
                <w:i/>
                <w:sz w:val="24"/>
                <w:szCs w:val="24"/>
              </w:rPr>
            </w:pPr>
            <w:r w:rsidRPr="00CD2805">
              <w:rPr>
                <w:rFonts w:ascii="Arial" w:hAnsi="Arial" w:cs="Arial"/>
                <w:i/>
                <w:sz w:val="24"/>
                <w:szCs w:val="24"/>
              </w:rPr>
              <w:t xml:space="preserve">Signed on behalf of the </w:t>
            </w:r>
          </w:p>
          <w:p w14:paraId="7157B17A" w14:textId="77777777" w:rsidR="00643D15" w:rsidRPr="00CD2805" w:rsidRDefault="00643D15" w:rsidP="00643D15">
            <w:pPr>
              <w:pStyle w:val="Header"/>
              <w:tabs>
                <w:tab w:val="left" w:pos="720"/>
              </w:tabs>
              <w:rPr>
                <w:rFonts w:ascii="Arial" w:hAnsi="Arial" w:cs="Arial"/>
                <w:i/>
                <w:sz w:val="24"/>
                <w:szCs w:val="24"/>
              </w:rPr>
            </w:pPr>
            <w:r w:rsidRPr="00CD2805">
              <w:rPr>
                <w:rFonts w:ascii="Arial" w:hAnsi="Arial" w:cs="Arial"/>
                <w:i/>
                <w:sz w:val="24"/>
                <w:szCs w:val="24"/>
              </w:rPr>
              <w:t>Management Committee / Proprietor:</w:t>
            </w:r>
          </w:p>
        </w:tc>
        <w:tc>
          <w:tcPr>
            <w:tcW w:w="5138" w:type="dxa"/>
            <w:tcBorders>
              <w:bottom w:val="dashed" w:sz="4" w:space="0" w:color="000000"/>
            </w:tcBorders>
            <w:tcMar>
              <w:top w:w="0" w:type="dxa"/>
              <w:left w:w="108" w:type="dxa"/>
              <w:bottom w:w="0" w:type="dxa"/>
              <w:right w:w="108" w:type="dxa"/>
            </w:tcMar>
            <w:vAlign w:val="bottom"/>
          </w:tcPr>
          <w:p w14:paraId="4C407FB8" w14:textId="77777777" w:rsidR="00643D15" w:rsidRPr="00CD2805" w:rsidRDefault="00643D15" w:rsidP="001C186A">
            <w:pPr>
              <w:pStyle w:val="Header"/>
              <w:tabs>
                <w:tab w:val="left" w:pos="720"/>
              </w:tabs>
              <w:ind w:left="360"/>
              <w:jc w:val="center"/>
              <w:rPr>
                <w:rFonts w:ascii="Arial" w:hAnsi="Arial" w:cs="Arial"/>
                <w:i/>
                <w:sz w:val="24"/>
                <w:szCs w:val="24"/>
              </w:rPr>
            </w:pPr>
            <w:r w:rsidRPr="00CD2805">
              <w:rPr>
                <w:rFonts w:ascii="Arial" w:hAnsi="Arial" w:cs="Arial"/>
                <w:i/>
                <w:sz w:val="24"/>
                <w:szCs w:val="24"/>
              </w:rPr>
              <w:t>Roshani Dasanayake</w:t>
            </w:r>
          </w:p>
        </w:tc>
      </w:tr>
      <w:tr w:rsidR="00643D15" w:rsidRPr="00CD2805" w14:paraId="58227AB8" w14:textId="77777777" w:rsidTr="001C186A">
        <w:trPr>
          <w:trHeight w:val="454"/>
        </w:trPr>
        <w:tc>
          <w:tcPr>
            <w:tcW w:w="4528" w:type="dxa"/>
            <w:vMerge/>
            <w:tcMar>
              <w:top w:w="0" w:type="dxa"/>
              <w:left w:w="108" w:type="dxa"/>
              <w:bottom w:w="0" w:type="dxa"/>
              <w:right w:w="108" w:type="dxa"/>
            </w:tcMar>
          </w:tcPr>
          <w:p w14:paraId="35DD82E7" w14:textId="77777777" w:rsidR="00643D15" w:rsidRPr="00CD2805" w:rsidRDefault="00643D15" w:rsidP="001C186A">
            <w:pPr>
              <w:ind w:left="360"/>
              <w:rPr>
                <w:rFonts w:ascii="Arial" w:hAnsi="Arial" w:cs="Arial"/>
                <w:i/>
                <w:sz w:val="24"/>
                <w:szCs w:val="24"/>
              </w:rPr>
            </w:pPr>
          </w:p>
        </w:tc>
        <w:tc>
          <w:tcPr>
            <w:tcW w:w="5138" w:type="dxa"/>
            <w:tcBorders>
              <w:top w:val="dashed" w:sz="4" w:space="0" w:color="000000"/>
              <w:bottom w:val="dashed" w:sz="4" w:space="0" w:color="000000"/>
            </w:tcBorders>
            <w:tcMar>
              <w:top w:w="0" w:type="dxa"/>
              <w:left w:w="108" w:type="dxa"/>
              <w:bottom w:w="0" w:type="dxa"/>
              <w:right w:w="108" w:type="dxa"/>
            </w:tcMar>
            <w:vAlign w:val="bottom"/>
          </w:tcPr>
          <w:p w14:paraId="0DF3AC37" w14:textId="77777777" w:rsidR="00643D15" w:rsidRPr="00CD2805" w:rsidRDefault="00643D15" w:rsidP="001C186A">
            <w:pPr>
              <w:pStyle w:val="Header"/>
              <w:tabs>
                <w:tab w:val="left" w:pos="720"/>
              </w:tabs>
              <w:ind w:left="360"/>
              <w:jc w:val="center"/>
              <w:rPr>
                <w:rFonts w:ascii="Arial" w:hAnsi="Arial" w:cs="Arial"/>
                <w:i/>
                <w:sz w:val="24"/>
                <w:szCs w:val="24"/>
              </w:rPr>
            </w:pPr>
            <w:r w:rsidRPr="00CD2805">
              <w:rPr>
                <w:rFonts w:ascii="Arial" w:hAnsi="Arial" w:cs="Arial"/>
                <w:i/>
                <w:sz w:val="24"/>
                <w:szCs w:val="24"/>
              </w:rPr>
              <w:t>Nursery Manager</w:t>
            </w:r>
          </w:p>
        </w:tc>
      </w:tr>
    </w:tbl>
    <w:p w14:paraId="3DCABC49" w14:textId="77777777" w:rsidR="00643D15" w:rsidRPr="00CD2805" w:rsidRDefault="00643D15" w:rsidP="00643D15">
      <w:pPr>
        <w:pStyle w:val="Header"/>
        <w:tabs>
          <w:tab w:val="left" w:pos="720"/>
        </w:tabs>
        <w:ind w:left="360"/>
        <w:rPr>
          <w:rFonts w:ascii="Arial" w:hAnsi="Arial" w:cs="Arial"/>
          <w:sz w:val="24"/>
          <w:szCs w:val="24"/>
        </w:rPr>
      </w:pPr>
    </w:p>
    <w:tbl>
      <w:tblPr>
        <w:tblW w:w="9687" w:type="dxa"/>
        <w:tblCellMar>
          <w:left w:w="10" w:type="dxa"/>
          <w:right w:w="10" w:type="dxa"/>
        </w:tblCellMar>
        <w:tblLook w:val="0000" w:firstRow="0" w:lastRow="0" w:firstColumn="0" w:lastColumn="0" w:noHBand="0" w:noVBand="0"/>
      </w:tblPr>
      <w:tblGrid>
        <w:gridCol w:w="2066"/>
        <w:gridCol w:w="2124"/>
        <w:gridCol w:w="357"/>
        <w:gridCol w:w="5140"/>
      </w:tblGrid>
      <w:tr w:rsidR="00643D15" w:rsidRPr="00CD2805" w14:paraId="7340A402" w14:textId="77777777" w:rsidTr="001C186A">
        <w:trPr>
          <w:trHeight w:val="454"/>
        </w:trPr>
        <w:tc>
          <w:tcPr>
            <w:tcW w:w="2066" w:type="dxa"/>
            <w:tcMar>
              <w:top w:w="0" w:type="dxa"/>
              <w:left w:w="108" w:type="dxa"/>
              <w:bottom w:w="0" w:type="dxa"/>
              <w:right w:w="108" w:type="dxa"/>
            </w:tcMar>
            <w:vAlign w:val="bottom"/>
          </w:tcPr>
          <w:p w14:paraId="25A61563" w14:textId="77777777" w:rsidR="00643D15" w:rsidRPr="00CD2805" w:rsidRDefault="00643D15" w:rsidP="001C186A">
            <w:pPr>
              <w:pStyle w:val="Header"/>
              <w:tabs>
                <w:tab w:val="left" w:pos="720"/>
              </w:tabs>
              <w:spacing w:before="60" w:after="60"/>
              <w:rPr>
                <w:rFonts w:ascii="Arial" w:hAnsi="Arial" w:cs="Arial"/>
                <w:sz w:val="24"/>
                <w:szCs w:val="24"/>
              </w:rPr>
            </w:pPr>
            <w:r w:rsidRPr="00CD2805">
              <w:rPr>
                <w:rFonts w:ascii="Arial" w:hAnsi="Arial" w:cs="Arial"/>
                <w:sz w:val="24"/>
                <w:szCs w:val="24"/>
              </w:rPr>
              <w:t>This policy was reviewed on:</w:t>
            </w:r>
          </w:p>
        </w:tc>
        <w:tc>
          <w:tcPr>
            <w:tcW w:w="2124" w:type="dxa"/>
            <w:tcBorders>
              <w:bottom w:val="dashed" w:sz="4" w:space="0" w:color="000000"/>
            </w:tcBorders>
            <w:tcMar>
              <w:top w:w="0" w:type="dxa"/>
              <w:left w:w="108" w:type="dxa"/>
              <w:bottom w:w="0" w:type="dxa"/>
              <w:right w:w="108" w:type="dxa"/>
            </w:tcMar>
            <w:vAlign w:val="bottom"/>
          </w:tcPr>
          <w:p w14:paraId="6F8F3AC6" w14:textId="73ED2195" w:rsidR="00643D15" w:rsidRPr="00CD2805" w:rsidRDefault="00643D15" w:rsidP="001C186A">
            <w:pPr>
              <w:pStyle w:val="Header"/>
              <w:tabs>
                <w:tab w:val="left" w:pos="720"/>
              </w:tabs>
              <w:ind w:left="360"/>
              <w:jc w:val="center"/>
              <w:rPr>
                <w:rFonts w:ascii="Arial" w:hAnsi="Arial" w:cs="Arial"/>
                <w:i/>
                <w:sz w:val="24"/>
                <w:szCs w:val="24"/>
              </w:rPr>
            </w:pPr>
            <w:r>
              <w:rPr>
                <w:rFonts w:ascii="Arial" w:hAnsi="Arial" w:cs="Arial"/>
                <w:i/>
                <w:sz w:val="24"/>
                <w:szCs w:val="24"/>
              </w:rPr>
              <w:t xml:space="preserve">January </w:t>
            </w:r>
            <w:r w:rsidRPr="00CD2805">
              <w:rPr>
                <w:rFonts w:ascii="Arial" w:hAnsi="Arial" w:cs="Arial"/>
                <w:i/>
                <w:sz w:val="24"/>
                <w:szCs w:val="24"/>
              </w:rPr>
              <w:t>202</w:t>
            </w:r>
            <w:r>
              <w:rPr>
                <w:rFonts w:ascii="Arial" w:hAnsi="Arial" w:cs="Arial"/>
                <w:i/>
                <w:sz w:val="24"/>
                <w:szCs w:val="24"/>
              </w:rPr>
              <w:t>6</w:t>
            </w:r>
          </w:p>
        </w:tc>
        <w:tc>
          <w:tcPr>
            <w:tcW w:w="357" w:type="dxa"/>
            <w:tcMar>
              <w:top w:w="0" w:type="dxa"/>
              <w:left w:w="108" w:type="dxa"/>
              <w:bottom w:w="0" w:type="dxa"/>
              <w:right w:w="108" w:type="dxa"/>
            </w:tcMar>
            <w:vAlign w:val="bottom"/>
          </w:tcPr>
          <w:p w14:paraId="64CEA687" w14:textId="77777777" w:rsidR="00643D15" w:rsidRPr="00CD2805" w:rsidRDefault="00643D15" w:rsidP="001C186A">
            <w:pPr>
              <w:pStyle w:val="Header"/>
              <w:tabs>
                <w:tab w:val="left" w:pos="720"/>
              </w:tabs>
              <w:ind w:left="360"/>
              <w:jc w:val="center"/>
              <w:rPr>
                <w:rFonts w:ascii="Arial" w:hAnsi="Arial" w:cs="Arial"/>
                <w:i/>
                <w:sz w:val="24"/>
                <w:szCs w:val="24"/>
              </w:rPr>
            </w:pPr>
          </w:p>
        </w:tc>
        <w:tc>
          <w:tcPr>
            <w:tcW w:w="5140" w:type="dxa"/>
            <w:tcBorders>
              <w:bottom w:val="dashed" w:sz="4" w:space="0" w:color="000000"/>
            </w:tcBorders>
            <w:tcMar>
              <w:top w:w="0" w:type="dxa"/>
              <w:left w:w="108" w:type="dxa"/>
              <w:bottom w:w="0" w:type="dxa"/>
              <w:right w:w="108" w:type="dxa"/>
            </w:tcMar>
            <w:vAlign w:val="bottom"/>
          </w:tcPr>
          <w:p w14:paraId="66D778C2" w14:textId="78CA18E1" w:rsidR="00643D15" w:rsidRPr="00CD2805" w:rsidRDefault="00643D15" w:rsidP="001C186A">
            <w:pPr>
              <w:pStyle w:val="Header"/>
              <w:ind w:left="360"/>
              <w:jc w:val="center"/>
              <w:rPr>
                <w:rFonts w:ascii="Arial" w:hAnsi="Arial" w:cs="Arial"/>
                <w:i/>
                <w:sz w:val="24"/>
                <w:szCs w:val="24"/>
              </w:rPr>
            </w:pPr>
            <w:r>
              <w:rPr>
                <w:rFonts w:ascii="Arial" w:hAnsi="Arial" w:cs="Arial"/>
                <w:i/>
                <w:sz w:val="24"/>
                <w:szCs w:val="24"/>
              </w:rPr>
              <w:t>Kirsty Stanyon</w:t>
            </w:r>
          </w:p>
        </w:tc>
      </w:tr>
    </w:tbl>
    <w:p w14:paraId="77BD1B33" w14:textId="77777777" w:rsidR="00643D15" w:rsidRPr="00CD2805" w:rsidRDefault="00643D15" w:rsidP="00643D15">
      <w:pPr>
        <w:rPr>
          <w:rFonts w:ascii="Arial" w:hAnsi="Arial" w:cs="Arial"/>
          <w:sz w:val="24"/>
          <w:szCs w:val="24"/>
        </w:rPr>
      </w:pPr>
    </w:p>
    <w:p w14:paraId="5D63B465" w14:textId="52DF8A58" w:rsidR="00463877" w:rsidRPr="009A44CC" w:rsidRDefault="00463877" w:rsidP="00C0539D">
      <w:pPr>
        <w:rPr>
          <w:sz w:val="24"/>
          <w:szCs w:val="24"/>
        </w:rPr>
      </w:pPr>
    </w:p>
    <w:sectPr w:rsidR="00463877" w:rsidRPr="009A44C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A158" w14:textId="77777777" w:rsidR="00EB2567" w:rsidRDefault="00EB2567" w:rsidP="009A44CC">
      <w:pPr>
        <w:spacing w:after="0" w:line="240" w:lineRule="auto"/>
      </w:pPr>
      <w:r>
        <w:separator/>
      </w:r>
    </w:p>
  </w:endnote>
  <w:endnote w:type="continuationSeparator" w:id="0">
    <w:p w14:paraId="40DBFE09" w14:textId="77777777" w:rsidR="00EB2567" w:rsidRDefault="00EB2567" w:rsidP="009A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DC54" w14:textId="77777777" w:rsidR="00EB2567" w:rsidRDefault="00EB2567" w:rsidP="009A44CC">
      <w:pPr>
        <w:spacing w:after="0" w:line="240" w:lineRule="auto"/>
      </w:pPr>
      <w:r>
        <w:separator/>
      </w:r>
    </w:p>
  </w:footnote>
  <w:footnote w:type="continuationSeparator" w:id="0">
    <w:p w14:paraId="2CC8B52A" w14:textId="77777777" w:rsidR="00EB2567" w:rsidRDefault="00EB2567" w:rsidP="009A4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5767" w14:textId="0C883270" w:rsidR="009A44CC" w:rsidRDefault="009A44CC" w:rsidP="009A44CC">
    <w:pPr>
      <w:pStyle w:val="Header"/>
      <w:jc w:val="right"/>
    </w:pPr>
    <w:r>
      <w:rPr>
        <w:noProof/>
      </w:rPr>
      <w:drawing>
        <wp:anchor distT="0" distB="0" distL="114300" distR="114300" simplePos="0" relativeHeight="251658240" behindDoc="0" locked="0" layoutInCell="1" allowOverlap="1" wp14:anchorId="5060CAE9" wp14:editId="60039A66">
          <wp:simplePos x="0" y="0"/>
          <wp:positionH relativeFrom="margin">
            <wp:align>right</wp:align>
          </wp:positionH>
          <wp:positionV relativeFrom="paragraph">
            <wp:posOffset>-289560</wp:posOffset>
          </wp:positionV>
          <wp:extent cx="1402080" cy="579120"/>
          <wp:effectExtent l="0" t="0" r="7620" b="0"/>
          <wp:wrapSquare wrapText="bothSides"/>
          <wp:docPr id="1377792262" name="Picture 1"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92262" name="Picture 1" descr="A colorful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9120"/>
                  </a:xfrm>
                  <a:prstGeom prst="rect">
                    <a:avLst/>
                  </a:prstGeom>
                  <a:noFill/>
                </pic:spPr>
              </pic:pic>
            </a:graphicData>
          </a:graphic>
        </wp:anchor>
      </w:drawing>
    </w:r>
  </w:p>
  <w:p w14:paraId="3B39EB12" w14:textId="77777777" w:rsidR="009A44CC" w:rsidRDefault="009A44CC" w:rsidP="009A44CC">
    <w:pPr>
      <w:pStyle w:val="Header"/>
      <w:jc w:val="right"/>
    </w:pPr>
  </w:p>
  <w:p w14:paraId="6AA4775E" w14:textId="326FB6EC" w:rsidR="009A44CC" w:rsidRDefault="009A44CC" w:rsidP="009A44CC">
    <w:pPr>
      <w:pStyle w:val="Header"/>
      <w:jc w:val="right"/>
    </w:pPr>
    <w:r>
      <w:t>Ofsted: 2749735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13D4"/>
    <w:multiLevelType w:val="hybridMultilevel"/>
    <w:tmpl w:val="9B4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20090"/>
    <w:multiLevelType w:val="hybridMultilevel"/>
    <w:tmpl w:val="871A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651C8"/>
    <w:multiLevelType w:val="hybridMultilevel"/>
    <w:tmpl w:val="6D04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577CC"/>
    <w:multiLevelType w:val="hybridMultilevel"/>
    <w:tmpl w:val="421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E3203"/>
    <w:multiLevelType w:val="hybridMultilevel"/>
    <w:tmpl w:val="A58E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E7088"/>
    <w:multiLevelType w:val="hybridMultilevel"/>
    <w:tmpl w:val="B9FA5B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0675510"/>
    <w:multiLevelType w:val="hybridMultilevel"/>
    <w:tmpl w:val="F70A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7167B"/>
    <w:multiLevelType w:val="hybridMultilevel"/>
    <w:tmpl w:val="3890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98475">
    <w:abstractNumId w:val="2"/>
  </w:num>
  <w:num w:numId="2" w16cid:durableId="1518078570">
    <w:abstractNumId w:val="5"/>
  </w:num>
  <w:num w:numId="3" w16cid:durableId="2075546229">
    <w:abstractNumId w:val="1"/>
  </w:num>
  <w:num w:numId="4" w16cid:durableId="1501194864">
    <w:abstractNumId w:val="0"/>
  </w:num>
  <w:num w:numId="5" w16cid:durableId="734815217">
    <w:abstractNumId w:val="6"/>
  </w:num>
  <w:num w:numId="6" w16cid:durableId="615722611">
    <w:abstractNumId w:val="4"/>
  </w:num>
  <w:num w:numId="7" w16cid:durableId="1098908827">
    <w:abstractNumId w:val="7"/>
  </w:num>
  <w:num w:numId="8" w16cid:durableId="2131969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05"/>
    <w:rsid w:val="000A39FA"/>
    <w:rsid w:val="000D7DE5"/>
    <w:rsid w:val="00123798"/>
    <w:rsid w:val="0015660E"/>
    <w:rsid w:val="001C57EC"/>
    <w:rsid w:val="001C7181"/>
    <w:rsid w:val="00293CC2"/>
    <w:rsid w:val="003D413E"/>
    <w:rsid w:val="003E3E35"/>
    <w:rsid w:val="0046244A"/>
    <w:rsid w:val="00463877"/>
    <w:rsid w:val="0049758B"/>
    <w:rsid w:val="004C4BD7"/>
    <w:rsid w:val="004D1334"/>
    <w:rsid w:val="004D5FCA"/>
    <w:rsid w:val="00595935"/>
    <w:rsid w:val="005A7A18"/>
    <w:rsid w:val="006176EE"/>
    <w:rsid w:val="00643D15"/>
    <w:rsid w:val="00662B05"/>
    <w:rsid w:val="00666F63"/>
    <w:rsid w:val="006B2714"/>
    <w:rsid w:val="006D4E88"/>
    <w:rsid w:val="006E3D67"/>
    <w:rsid w:val="007240E7"/>
    <w:rsid w:val="00754922"/>
    <w:rsid w:val="0078328C"/>
    <w:rsid w:val="00790588"/>
    <w:rsid w:val="007C37FA"/>
    <w:rsid w:val="008576F5"/>
    <w:rsid w:val="00873A93"/>
    <w:rsid w:val="00882832"/>
    <w:rsid w:val="00896030"/>
    <w:rsid w:val="008C0950"/>
    <w:rsid w:val="008E3CB6"/>
    <w:rsid w:val="00902705"/>
    <w:rsid w:val="00914F6A"/>
    <w:rsid w:val="00965733"/>
    <w:rsid w:val="009924FF"/>
    <w:rsid w:val="009A44CC"/>
    <w:rsid w:val="009B0327"/>
    <w:rsid w:val="009B3EC0"/>
    <w:rsid w:val="00A913CD"/>
    <w:rsid w:val="00B705FD"/>
    <w:rsid w:val="00B87412"/>
    <w:rsid w:val="00BF41EF"/>
    <w:rsid w:val="00C0539D"/>
    <w:rsid w:val="00C21383"/>
    <w:rsid w:val="00C917D0"/>
    <w:rsid w:val="00C96789"/>
    <w:rsid w:val="00D00393"/>
    <w:rsid w:val="00D527F0"/>
    <w:rsid w:val="00DA77E3"/>
    <w:rsid w:val="00E82AA4"/>
    <w:rsid w:val="00EB2567"/>
    <w:rsid w:val="00EB2B64"/>
    <w:rsid w:val="00F42726"/>
    <w:rsid w:val="00FA723A"/>
    <w:rsid w:val="00FF0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7DF2"/>
  <w15:chartTrackingRefBased/>
  <w15:docId w15:val="{C2BAF34A-59A1-4C73-8354-018A87D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705"/>
    <w:rPr>
      <w:rFonts w:eastAsiaTheme="majorEastAsia" w:cstheme="majorBidi"/>
      <w:color w:val="272727" w:themeColor="text1" w:themeTint="D8"/>
    </w:rPr>
  </w:style>
  <w:style w:type="paragraph" w:styleId="Title">
    <w:name w:val="Title"/>
    <w:basedOn w:val="Normal"/>
    <w:next w:val="Normal"/>
    <w:link w:val="TitleChar"/>
    <w:uiPriority w:val="10"/>
    <w:qFormat/>
    <w:rsid w:val="00902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705"/>
    <w:pPr>
      <w:spacing w:before="160"/>
      <w:jc w:val="center"/>
    </w:pPr>
    <w:rPr>
      <w:i/>
      <w:iCs/>
      <w:color w:val="404040" w:themeColor="text1" w:themeTint="BF"/>
    </w:rPr>
  </w:style>
  <w:style w:type="character" w:customStyle="1" w:styleId="QuoteChar">
    <w:name w:val="Quote Char"/>
    <w:basedOn w:val="DefaultParagraphFont"/>
    <w:link w:val="Quote"/>
    <w:uiPriority w:val="29"/>
    <w:rsid w:val="00902705"/>
    <w:rPr>
      <w:i/>
      <w:iCs/>
      <w:color w:val="404040" w:themeColor="text1" w:themeTint="BF"/>
    </w:rPr>
  </w:style>
  <w:style w:type="paragraph" w:styleId="ListParagraph">
    <w:name w:val="List Paragraph"/>
    <w:basedOn w:val="Normal"/>
    <w:uiPriority w:val="34"/>
    <w:qFormat/>
    <w:rsid w:val="00902705"/>
    <w:pPr>
      <w:ind w:left="720"/>
      <w:contextualSpacing/>
    </w:pPr>
  </w:style>
  <w:style w:type="character" w:styleId="IntenseEmphasis">
    <w:name w:val="Intense Emphasis"/>
    <w:basedOn w:val="DefaultParagraphFont"/>
    <w:uiPriority w:val="21"/>
    <w:qFormat/>
    <w:rsid w:val="00902705"/>
    <w:rPr>
      <w:i/>
      <w:iCs/>
      <w:color w:val="0F4761" w:themeColor="accent1" w:themeShade="BF"/>
    </w:rPr>
  </w:style>
  <w:style w:type="paragraph" w:styleId="IntenseQuote">
    <w:name w:val="Intense Quote"/>
    <w:basedOn w:val="Normal"/>
    <w:next w:val="Normal"/>
    <w:link w:val="IntenseQuoteChar"/>
    <w:uiPriority w:val="30"/>
    <w:qFormat/>
    <w:rsid w:val="00902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705"/>
    <w:rPr>
      <w:i/>
      <w:iCs/>
      <w:color w:val="0F4761" w:themeColor="accent1" w:themeShade="BF"/>
    </w:rPr>
  </w:style>
  <w:style w:type="character" w:styleId="IntenseReference">
    <w:name w:val="Intense Reference"/>
    <w:basedOn w:val="DefaultParagraphFont"/>
    <w:uiPriority w:val="32"/>
    <w:qFormat/>
    <w:rsid w:val="00902705"/>
    <w:rPr>
      <w:b/>
      <w:bCs/>
      <w:smallCaps/>
      <w:color w:val="0F4761" w:themeColor="accent1" w:themeShade="BF"/>
      <w:spacing w:val="5"/>
    </w:rPr>
  </w:style>
  <w:style w:type="paragraph" w:styleId="Header">
    <w:name w:val="header"/>
    <w:basedOn w:val="Normal"/>
    <w:link w:val="HeaderChar"/>
    <w:uiPriority w:val="99"/>
    <w:unhideWhenUsed/>
    <w:rsid w:val="009A4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4CC"/>
  </w:style>
  <w:style w:type="paragraph" w:styleId="Footer">
    <w:name w:val="footer"/>
    <w:basedOn w:val="Normal"/>
    <w:link w:val="FooterChar"/>
    <w:uiPriority w:val="99"/>
    <w:unhideWhenUsed/>
    <w:rsid w:val="009A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 Dasanayake</dc:creator>
  <cp:keywords/>
  <dc:description/>
  <cp:lastModifiedBy>Anuki Dasanayake</cp:lastModifiedBy>
  <cp:revision>2</cp:revision>
  <cp:lastPrinted>2025-11-06T08:49:00Z</cp:lastPrinted>
  <dcterms:created xsi:type="dcterms:W3CDTF">2026-02-05T11:01:00Z</dcterms:created>
  <dcterms:modified xsi:type="dcterms:W3CDTF">2026-02-05T11:01:00Z</dcterms:modified>
</cp:coreProperties>
</file>