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D423E3" w14:textId="7F1AC02A" w:rsidR="00DC4214" w:rsidRDefault="00DC4214" w:rsidP="00DC4214">
      <w:pPr>
        <w:jc w:val="center"/>
        <w:rPr>
          <w:b/>
          <w:bCs/>
          <w:sz w:val="28"/>
          <w:szCs w:val="28"/>
          <w:u w:val="single"/>
        </w:rPr>
      </w:pPr>
      <w:r>
        <w:rPr>
          <w:b/>
          <w:bCs/>
          <w:noProof/>
          <w:sz w:val="28"/>
          <w:szCs w:val="28"/>
          <w:u w:val="single"/>
        </w:rPr>
        <mc:AlternateContent>
          <mc:Choice Requires="wps">
            <w:drawing>
              <wp:anchor distT="45720" distB="45720" distL="114300" distR="114300" simplePos="0" relativeHeight="251658240" behindDoc="0" locked="0" layoutInCell="1" allowOverlap="1" wp14:anchorId="2F3C7981" wp14:editId="6B74E148">
                <wp:simplePos x="0" y="0"/>
                <wp:positionH relativeFrom="margin">
                  <wp:align>right</wp:align>
                </wp:positionH>
                <wp:positionV relativeFrom="paragraph">
                  <wp:posOffset>97155</wp:posOffset>
                </wp:positionV>
                <wp:extent cx="5710555" cy="396240"/>
                <wp:effectExtent l="0" t="0" r="23495" b="18415"/>
                <wp:wrapSquare wrapText="bothSides"/>
                <wp:docPr id="1991774494"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0555" cy="396240"/>
                        </a:xfrm>
                        <a:prstGeom prst="rect">
                          <a:avLst/>
                        </a:prstGeom>
                        <a:solidFill>
                          <a:srgbClr val="FFFFFF"/>
                        </a:solidFill>
                        <a:ln w="19050">
                          <a:solidFill>
                            <a:schemeClr val="tx1">
                              <a:lumMod val="100000"/>
                              <a:lumOff val="0"/>
                            </a:schemeClr>
                          </a:solidFill>
                          <a:miter lim="800000"/>
                          <a:headEnd/>
                          <a:tailEnd/>
                        </a:ln>
                      </wps:spPr>
                      <wps:txbx>
                        <w:txbxContent>
                          <w:p w14:paraId="40CFD213" w14:textId="0773C35F" w:rsidR="00DC4214" w:rsidRPr="00DC4214" w:rsidRDefault="00DC4214" w:rsidP="00DC4214">
                            <w:pPr>
                              <w:jc w:val="center"/>
                              <w:rPr>
                                <w:b/>
                                <w:bCs/>
                                <w:sz w:val="36"/>
                                <w:szCs w:val="36"/>
                                <w:u w:val="single"/>
                              </w:rPr>
                            </w:pPr>
                            <w:r w:rsidRPr="00DC4214">
                              <w:rPr>
                                <w:b/>
                                <w:bCs/>
                                <w:sz w:val="36"/>
                                <w:szCs w:val="36"/>
                                <w:u w:val="single"/>
                              </w:rPr>
                              <w:t>Admissions &amp; Waiting List Policy</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w14:anchorId="2F3C7981" id="_x0000_t202" coordsize="21600,21600" o:spt="202" path="m,l,21600r21600,l21600,xe">
                <v:stroke joinstyle="miter"/>
                <v:path gradientshapeok="t" o:connecttype="rect"/>
              </v:shapetype>
              <v:shape id="Text Box 1" o:spid="_x0000_s1026" type="#_x0000_t202" style="position:absolute;left:0;text-align:left;margin-left:398.45pt;margin-top:7.65pt;width:449.65pt;height:31.2pt;z-index:251658240;visibility:visible;mso-wrap-style:square;mso-width-percent:0;mso-height-percent:200;mso-wrap-distance-left:9pt;mso-wrap-distance-top:3.6pt;mso-wrap-distance-right:9pt;mso-wrap-distance-bottom:3.6pt;mso-position-horizontal:righ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" strokecolor="black [3213]" strokeweight="1.5pt">
                <v:textbox style="mso-fit-shape-to-text:t">
                  <w:txbxContent>
                    <w:p w14:paraId="40CFD213" w14:textId="0773C35F" w:rsidR="00DC4214" w:rsidRPr="00DC4214" w:rsidRDefault="00DC4214" w:rsidP="00DC4214">
                      <w:pPr>
                        <w:jc w:val="center"/>
                        <w:rPr>
                          <w:b/>
                          <w:bCs/>
                          <w:sz w:val="36"/>
                          <w:szCs w:val="36"/>
                          <w:u w:val="single"/>
                        </w:rPr>
                      </w:pPr>
                      <w:r w:rsidRPr="00DC4214">
                        <w:rPr>
                          <w:b/>
                          <w:bCs/>
                          <w:sz w:val="36"/>
                          <w:szCs w:val="36"/>
                          <w:u w:val="single"/>
                        </w:rPr>
                        <w:t>Admissions &amp; Waiting List Policy</w:t>
                      </w:r>
                    </w:p>
                  </w:txbxContent>
                </v:textbox>
                <w10:wrap type="square" anchorx="margin"/>
              </v:shape>
            </w:pict>
          </mc:Fallback>
        </mc:AlternateContent>
      </w:r>
    </w:p>
    <w:p w14:paraId="45E9952C" w14:textId="7C79E0C8" w:rsidR="00BB247C" w:rsidRPr="0031608E" w:rsidRDefault="00DC4214">
      <w:pPr>
        <w:rPr>
          <w:sz w:val="24"/>
          <w:szCs w:val="24"/>
        </w:rPr>
      </w:pPr>
      <w:r>
        <w:rPr>
          <w:sz w:val="24"/>
          <w:szCs w:val="24"/>
        </w:rPr>
        <w:t>W</w:t>
      </w:r>
      <w:r w:rsidR="00CA6FBD" w:rsidRPr="0031608E">
        <w:rPr>
          <w:sz w:val="24"/>
          <w:szCs w:val="24"/>
        </w:rPr>
        <w:t>e are committed to offering high-quality childcare and early education to families within our community. Our admissions process ensures that each setting operates close to full capacity, in accordance with Ofsted registration requirements.</w:t>
      </w:r>
      <w:r w:rsidR="00BB247C" w:rsidRPr="0031608E">
        <w:rPr>
          <w:sz w:val="24"/>
          <w:szCs w:val="24"/>
        </w:rPr>
        <w:t xml:space="preserve"> </w:t>
      </w:r>
    </w:p>
    <w:p w14:paraId="6C48CD5C" w14:textId="71295B3E" w:rsidR="00CA6FBD" w:rsidRPr="0031608E" w:rsidRDefault="00CA6FBD">
      <w:pPr>
        <w:rPr>
          <w:sz w:val="24"/>
          <w:szCs w:val="24"/>
        </w:rPr>
      </w:pPr>
      <w:r w:rsidRPr="0031608E">
        <w:rPr>
          <w:sz w:val="24"/>
          <w:szCs w:val="24"/>
        </w:rPr>
        <w:t>We provide a range of childcare services including full-day care</w:t>
      </w:r>
      <w:r w:rsidR="00BB247C" w:rsidRPr="0031608E">
        <w:rPr>
          <w:sz w:val="24"/>
          <w:szCs w:val="24"/>
        </w:rPr>
        <w:t xml:space="preserve"> and</w:t>
      </w:r>
      <w:r w:rsidRPr="0031608E">
        <w:rPr>
          <w:sz w:val="24"/>
          <w:szCs w:val="24"/>
        </w:rPr>
        <w:t xml:space="preserve"> </w:t>
      </w:r>
      <w:r w:rsidR="00BB247C" w:rsidRPr="0031608E">
        <w:rPr>
          <w:sz w:val="24"/>
          <w:szCs w:val="24"/>
        </w:rPr>
        <w:t xml:space="preserve">breakfast and evening club. </w:t>
      </w:r>
      <w:r w:rsidRPr="0031608E">
        <w:rPr>
          <w:sz w:val="24"/>
          <w:szCs w:val="24"/>
        </w:rPr>
        <w:t>Admissions are open throughout the year and offered on a first-come, first-served basis, subject to availability. We welcome all children regardless of ability or aptitude.</w:t>
      </w:r>
    </w:p>
    <w:p w14:paraId="04A64A19" w14:textId="708653C6" w:rsidR="006E1267" w:rsidRPr="0031608E" w:rsidRDefault="006E1267">
      <w:pPr>
        <w:rPr>
          <w:b/>
          <w:bCs/>
          <w:sz w:val="24"/>
          <w:szCs w:val="24"/>
          <w:u w:val="single"/>
        </w:rPr>
      </w:pPr>
      <w:r w:rsidRPr="0031608E">
        <w:rPr>
          <w:b/>
          <w:bCs/>
          <w:sz w:val="24"/>
          <w:szCs w:val="24"/>
          <w:u w:val="single"/>
        </w:rPr>
        <w:t xml:space="preserve">Application Process </w:t>
      </w:r>
    </w:p>
    <w:p w14:paraId="2E28DBA2" w14:textId="77777777" w:rsidR="00AE16EB" w:rsidRPr="0031608E" w:rsidRDefault="00AE16EB" w:rsidP="00AE16EB">
      <w:pPr>
        <w:pStyle w:val="ListParagraph"/>
        <w:numPr>
          <w:ilvl w:val="0"/>
          <w:numId w:val="1"/>
        </w:numPr>
        <w:rPr>
          <w:sz w:val="24"/>
          <w:szCs w:val="24"/>
        </w:rPr>
      </w:pPr>
      <w:r w:rsidRPr="0031608E">
        <w:rPr>
          <w:b/>
          <w:bCs/>
          <w:sz w:val="24"/>
          <w:szCs w:val="24"/>
        </w:rPr>
        <w:t>Checking Availability</w:t>
      </w:r>
      <w:r w:rsidRPr="0031608E">
        <w:rPr>
          <w:sz w:val="24"/>
          <w:szCs w:val="24"/>
        </w:rPr>
        <w:br/>
        <w:t>Before applying, we will confirm whether we have a place available for your child’s age group. Availability depends on several factors, including start date, preferred days, and our adult-to-child ratios in each room. A waiting list operates across all rooms.</w:t>
      </w:r>
    </w:p>
    <w:p w14:paraId="219AE6D0" w14:textId="32FF20D2" w:rsidR="00AE16EB" w:rsidRPr="0031608E" w:rsidRDefault="00AE16EB" w:rsidP="00AE16EB">
      <w:pPr>
        <w:pStyle w:val="ListParagraph"/>
        <w:numPr>
          <w:ilvl w:val="0"/>
          <w:numId w:val="1"/>
        </w:numPr>
        <w:rPr>
          <w:sz w:val="24"/>
          <w:szCs w:val="24"/>
        </w:rPr>
      </w:pPr>
      <w:r w:rsidRPr="0031608E">
        <w:rPr>
          <w:b/>
          <w:bCs/>
          <w:sz w:val="24"/>
          <w:szCs w:val="24"/>
        </w:rPr>
        <w:t>Registration Form</w:t>
      </w:r>
      <w:r w:rsidRPr="0031608E">
        <w:rPr>
          <w:sz w:val="24"/>
          <w:szCs w:val="24"/>
        </w:rPr>
        <w:br/>
        <w:t xml:space="preserve">Parents or carers must complete </w:t>
      </w:r>
      <w:r w:rsidR="00DC4214">
        <w:rPr>
          <w:sz w:val="24"/>
          <w:szCs w:val="24"/>
        </w:rPr>
        <w:t>a</w:t>
      </w:r>
      <w:r w:rsidRPr="0031608E">
        <w:rPr>
          <w:b/>
          <w:bCs/>
          <w:sz w:val="24"/>
          <w:szCs w:val="24"/>
        </w:rPr>
        <w:t xml:space="preserve"> Registration Form</w:t>
      </w:r>
      <w:r w:rsidRPr="0031608E">
        <w:rPr>
          <w:sz w:val="24"/>
          <w:szCs w:val="24"/>
        </w:rPr>
        <w:t xml:space="preserve"> and </w:t>
      </w:r>
      <w:r w:rsidR="00DC4214" w:rsidRPr="00DC4214">
        <w:rPr>
          <w:b/>
          <w:bCs/>
          <w:sz w:val="24"/>
          <w:szCs w:val="24"/>
        </w:rPr>
        <w:t>Nursery</w:t>
      </w:r>
      <w:r w:rsidR="00DC4214">
        <w:rPr>
          <w:sz w:val="24"/>
          <w:szCs w:val="24"/>
        </w:rPr>
        <w:t xml:space="preserve"> </w:t>
      </w:r>
      <w:r w:rsidRPr="0031608E">
        <w:rPr>
          <w:b/>
          <w:bCs/>
          <w:sz w:val="24"/>
          <w:szCs w:val="24"/>
        </w:rPr>
        <w:t>Agreement</w:t>
      </w:r>
      <w:r w:rsidRPr="0031608E">
        <w:rPr>
          <w:sz w:val="24"/>
          <w:szCs w:val="24"/>
        </w:rPr>
        <w:t xml:space="preserve"> to apply for a place. </w:t>
      </w:r>
    </w:p>
    <w:p w14:paraId="5CA82A05" w14:textId="57D250E7" w:rsidR="00AE16EB" w:rsidRPr="0031608E" w:rsidRDefault="00AE16EB" w:rsidP="00AE16EB">
      <w:pPr>
        <w:pStyle w:val="ListParagraph"/>
        <w:numPr>
          <w:ilvl w:val="0"/>
          <w:numId w:val="1"/>
        </w:numPr>
        <w:rPr>
          <w:sz w:val="24"/>
          <w:szCs w:val="24"/>
        </w:rPr>
      </w:pPr>
      <w:r w:rsidRPr="0031608E">
        <w:rPr>
          <w:b/>
          <w:bCs/>
          <w:sz w:val="24"/>
          <w:szCs w:val="24"/>
        </w:rPr>
        <w:t>Registration Fee</w:t>
      </w:r>
      <w:r w:rsidRPr="0031608E">
        <w:rPr>
          <w:sz w:val="24"/>
          <w:szCs w:val="24"/>
        </w:rPr>
        <w:br/>
        <w:t>A non-refundable registration fee is payable at the time of application. This fee reserves your child’s place during the registration process.</w:t>
      </w:r>
      <w:r w:rsidR="005376FF">
        <w:rPr>
          <w:sz w:val="24"/>
          <w:szCs w:val="24"/>
        </w:rPr>
        <w:t xml:space="preserve"> This fee is not applicable for children that are fully funded. </w:t>
      </w:r>
    </w:p>
    <w:p w14:paraId="76E00066" w14:textId="009ADD14" w:rsidR="00AE16EB" w:rsidRPr="0031608E" w:rsidRDefault="00AE16EB" w:rsidP="00AE16EB">
      <w:pPr>
        <w:pStyle w:val="ListParagraph"/>
        <w:numPr>
          <w:ilvl w:val="0"/>
          <w:numId w:val="1"/>
        </w:numPr>
        <w:rPr>
          <w:sz w:val="24"/>
          <w:szCs w:val="24"/>
        </w:rPr>
      </w:pPr>
      <w:r w:rsidRPr="0031608E">
        <w:rPr>
          <w:b/>
          <w:bCs/>
          <w:sz w:val="24"/>
          <w:szCs w:val="24"/>
        </w:rPr>
        <w:t>Funding and Eligibility</w:t>
      </w:r>
      <w:r w:rsidRPr="0031608E">
        <w:rPr>
          <w:sz w:val="24"/>
          <w:szCs w:val="24"/>
        </w:rPr>
        <w:br/>
        <w:t xml:space="preserve">For families applying for the </w:t>
      </w:r>
      <w:r w:rsidRPr="0031608E">
        <w:rPr>
          <w:b/>
          <w:bCs/>
          <w:sz w:val="24"/>
          <w:szCs w:val="24"/>
        </w:rPr>
        <w:t>Working Families Funded Entitlement</w:t>
      </w:r>
      <w:r w:rsidRPr="0031608E">
        <w:rPr>
          <w:sz w:val="24"/>
          <w:szCs w:val="24"/>
        </w:rPr>
        <w:t>, the funding section of the form must be completed. This provides written consent for us to use your details to verify funding eligibility and Early Years Pupil Premium (EYPP) status. You will need to provide the National Insurance numbers and dates of birth of all applying parents or carers.</w:t>
      </w:r>
    </w:p>
    <w:p w14:paraId="71D383D9" w14:textId="2DF19598" w:rsidR="00AE16EB" w:rsidRPr="0031608E" w:rsidRDefault="00AE16EB" w:rsidP="00AE16EB">
      <w:pPr>
        <w:pStyle w:val="ListParagraph"/>
        <w:numPr>
          <w:ilvl w:val="0"/>
          <w:numId w:val="1"/>
        </w:numPr>
        <w:rPr>
          <w:sz w:val="24"/>
          <w:szCs w:val="24"/>
        </w:rPr>
      </w:pPr>
      <w:r w:rsidRPr="0031608E">
        <w:rPr>
          <w:b/>
          <w:bCs/>
          <w:sz w:val="24"/>
          <w:szCs w:val="24"/>
        </w:rPr>
        <w:t>Opt-In/Opt-Out of Extras</w:t>
      </w:r>
      <w:r w:rsidRPr="0031608E">
        <w:rPr>
          <w:sz w:val="24"/>
          <w:szCs w:val="24"/>
        </w:rPr>
        <w:br/>
        <w:t xml:space="preserve">The application form includes an </w:t>
      </w:r>
      <w:r w:rsidRPr="0031608E">
        <w:rPr>
          <w:b/>
          <w:bCs/>
          <w:sz w:val="24"/>
          <w:szCs w:val="24"/>
        </w:rPr>
        <w:t>Opt-In/Opt-Out</w:t>
      </w:r>
      <w:r w:rsidRPr="0031608E">
        <w:rPr>
          <w:sz w:val="24"/>
          <w:szCs w:val="24"/>
        </w:rPr>
        <w:t xml:space="preserve"> section for meals, </w:t>
      </w:r>
      <w:r w:rsidR="00E95F60" w:rsidRPr="0031608E">
        <w:rPr>
          <w:sz w:val="24"/>
          <w:szCs w:val="24"/>
        </w:rPr>
        <w:t>consumables, and</w:t>
      </w:r>
      <w:r w:rsidRPr="0031608E">
        <w:rPr>
          <w:sz w:val="24"/>
          <w:szCs w:val="24"/>
        </w:rPr>
        <w:t xml:space="preserve"> enrichment activities. Government funding does not cover the full cost of childcare or additional provisions such as meals, baby wipes, creams, and other extras. Please refer to our </w:t>
      </w:r>
      <w:r w:rsidRPr="0031608E">
        <w:rPr>
          <w:b/>
          <w:bCs/>
          <w:sz w:val="24"/>
          <w:szCs w:val="24"/>
        </w:rPr>
        <w:t>Consumables and Activities Contributions Policy</w:t>
      </w:r>
      <w:r w:rsidRPr="0031608E">
        <w:rPr>
          <w:sz w:val="24"/>
          <w:szCs w:val="24"/>
        </w:rPr>
        <w:t xml:space="preserve"> for further information.</w:t>
      </w:r>
    </w:p>
    <w:p w14:paraId="74C376D8" w14:textId="65C92D16" w:rsidR="00AE16EB" w:rsidRPr="0031608E" w:rsidRDefault="00AE16EB" w:rsidP="00AE16EB">
      <w:pPr>
        <w:pStyle w:val="ListParagraph"/>
        <w:numPr>
          <w:ilvl w:val="0"/>
          <w:numId w:val="1"/>
        </w:numPr>
        <w:rPr>
          <w:sz w:val="24"/>
          <w:szCs w:val="24"/>
        </w:rPr>
      </w:pPr>
      <w:r w:rsidRPr="0031608E">
        <w:rPr>
          <w:b/>
          <w:bCs/>
          <w:sz w:val="24"/>
          <w:szCs w:val="24"/>
        </w:rPr>
        <w:t>Offer of a Place</w:t>
      </w:r>
      <w:r w:rsidRPr="0031608E">
        <w:rPr>
          <w:sz w:val="24"/>
          <w:szCs w:val="24"/>
        </w:rPr>
        <w:br/>
        <w:t>Submitting a registration form does not guarantee a place, as this is dependent on session capacity. If a place cannot be offered, the registration fee will be refunded.</w:t>
      </w:r>
    </w:p>
    <w:p w14:paraId="5F394FF2" w14:textId="77777777" w:rsidR="006E1267" w:rsidRPr="0031608E" w:rsidRDefault="006E1267">
      <w:pPr>
        <w:rPr>
          <w:b/>
          <w:bCs/>
          <w:sz w:val="24"/>
          <w:szCs w:val="24"/>
          <w:u w:val="single"/>
        </w:rPr>
      </w:pPr>
      <w:r w:rsidRPr="0031608E">
        <w:rPr>
          <w:b/>
          <w:bCs/>
          <w:sz w:val="24"/>
          <w:szCs w:val="24"/>
          <w:u w:val="single"/>
        </w:rPr>
        <w:lastRenderedPageBreak/>
        <w:t xml:space="preserve">Place Allocation </w:t>
      </w:r>
    </w:p>
    <w:p w14:paraId="34D93568" w14:textId="554F0C4A" w:rsidR="00970107" w:rsidRPr="0031608E" w:rsidRDefault="002E3A0B" w:rsidP="00970107">
      <w:pPr>
        <w:rPr>
          <w:sz w:val="24"/>
          <w:szCs w:val="24"/>
        </w:rPr>
      </w:pPr>
      <w:r w:rsidRPr="0031608E">
        <w:rPr>
          <w:sz w:val="24"/>
          <w:szCs w:val="24"/>
        </w:rPr>
        <w:t>All children are entered into our waiting list system until we can match your requested sessions with available spaces.</w:t>
      </w:r>
    </w:p>
    <w:p w14:paraId="75C635BB" w14:textId="69F07B4D" w:rsidR="00D61829" w:rsidRPr="0031608E" w:rsidRDefault="00D61829" w:rsidP="00D61829">
      <w:pPr>
        <w:rPr>
          <w:sz w:val="24"/>
          <w:szCs w:val="24"/>
        </w:rPr>
      </w:pPr>
      <w:r w:rsidRPr="0031608E">
        <w:rPr>
          <w:sz w:val="24"/>
          <w:szCs w:val="24"/>
        </w:rPr>
        <w:t xml:space="preserve">Government funding provides access to </w:t>
      </w:r>
      <w:r w:rsidRPr="0031608E">
        <w:rPr>
          <w:b/>
          <w:bCs/>
          <w:sz w:val="24"/>
          <w:szCs w:val="24"/>
        </w:rPr>
        <w:t>15 or 30 hours</w:t>
      </w:r>
      <w:r w:rsidRPr="0031608E">
        <w:rPr>
          <w:sz w:val="24"/>
          <w:szCs w:val="24"/>
        </w:rPr>
        <w:t xml:space="preserve"> of f</w:t>
      </w:r>
      <w:r w:rsidR="0031608E">
        <w:rPr>
          <w:sz w:val="24"/>
          <w:szCs w:val="24"/>
        </w:rPr>
        <w:t>ree</w:t>
      </w:r>
      <w:r w:rsidRPr="0031608E">
        <w:rPr>
          <w:sz w:val="24"/>
          <w:szCs w:val="24"/>
        </w:rPr>
        <w:t>, high-quality early education per week. However, it does not cover the full cost of childcare or additional services such as meals, consumables, extra hours, or enrichment activities.</w:t>
      </w:r>
    </w:p>
    <w:p w14:paraId="50083228" w14:textId="72D2AE42" w:rsidR="00D61829" w:rsidRPr="0031608E" w:rsidRDefault="00D61829" w:rsidP="00D61829">
      <w:pPr>
        <w:numPr>
          <w:ilvl w:val="0"/>
          <w:numId w:val="4"/>
        </w:numPr>
        <w:rPr>
          <w:sz w:val="24"/>
          <w:szCs w:val="24"/>
        </w:rPr>
      </w:pPr>
      <w:r w:rsidRPr="0031608E">
        <w:rPr>
          <w:sz w:val="24"/>
          <w:szCs w:val="24"/>
        </w:rPr>
        <w:t xml:space="preserve">Our nursery operates all year round, and funding is applied on a </w:t>
      </w:r>
      <w:r w:rsidRPr="0031608E">
        <w:rPr>
          <w:b/>
          <w:bCs/>
          <w:sz w:val="24"/>
          <w:szCs w:val="24"/>
        </w:rPr>
        <w:t>stretched model</w:t>
      </w:r>
      <w:r w:rsidRPr="0031608E">
        <w:rPr>
          <w:sz w:val="24"/>
          <w:szCs w:val="24"/>
        </w:rPr>
        <w:t xml:space="preserve"> over 5</w:t>
      </w:r>
      <w:r w:rsidR="00970107" w:rsidRPr="0031608E">
        <w:rPr>
          <w:sz w:val="24"/>
          <w:szCs w:val="24"/>
        </w:rPr>
        <w:t>1</w:t>
      </w:r>
      <w:r w:rsidRPr="0031608E">
        <w:rPr>
          <w:sz w:val="24"/>
          <w:szCs w:val="24"/>
        </w:rPr>
        <w:t xml:space="preserve"> weeks</w:t>
      </w:r>
      <w:r w:rsidR="00E95F60" w:rsidRPr="0031608E">
        <w:rPr>
          <w:sz w:val="24"/>
          <w:szCs w:val="24"/>
        </w:rPr>
        <w:t xml:space="preserve"> for non-term time children. Term time </w:t>
      </w:r>
      <w:proofErr w:type="gramStart"/>
      <w:r w:rsidR="00E95F60" w:rsidRPr="0031608E">
        <w:rPr>
          <w:sz w:val="24"/>
          <w:szCs w:val="24"/>
        </w:rPr>
        <w:t>children’s</w:t>
      </w:r>
      <w:proofErr w:type="gramEnd"/>
      <w:r w:rsidR="00E95F60" w:rsidRPr="0031608E">
        <w:rPr>
          <w:sz w:val="24"/>
          <w:szCs w:val="24"/>
        </w:rPr>
        <w:t xml:space="preserve"> are 38 weeks.</w:t>
      </w:r>
    </w:p>
    <w:p w14:paraId="6578FFAC" w14:textId="77777777" w:rsidR="00D61829" w:rsidRPr="0031608E" w:rsidRDefault="00D61829" w:rsidP="00D61829">
      <w:pPr>
        <w:numPr>
          <w:ilvl w:val="0"/>
          <w:numId w:val="4"/>
        </w:numPr>
        <w:rPr>
          <w:sz w:val="24"/>
          <w:szCs w:val="24"/>
        </w:rPr>
      </w:pPr>
      <w:r w:rsidRPr="0031608E">
        <w:rPr>
          <w:sz w:val="24"/>
          <w:szCs w:val="24"/>
        </w:rPr>
        <w:t xml:space="preserve">Parents/carers are responsible for confirming their eligibility for 15 or 30 hours funded childcare and can choose whether to opt in or out of meals, consumables, and additional activities (subject to availability and place allocation). Please also refer to our </w:t>
      </w:r>
      <w:r w:rsidRPr="0031608E">
        <w:rPr>
          <w:b/>
          <w:bCs/>
          <w:sz w:val="24"/>
          <w:szCs w:val="24"/>
        </w:rPr>
        <w:t>Funding Entitlement Policy</w:t>
      </w:r>
      <w:r w:rsidRPr="0031608E">
        <w:rPr>
          <w:sz w:val="24"/>
          <w:szCs w:val="24"/>
        </w:rPr>
        <w:t xml:space="preserve"> and </w:t>
      </w:r>
      <w:r w:rsidRPr="0031608E">
        <w:rPr>
          <w:b/>
          <w:bCs/>
          <w:sz w:val="24"/>
          <w:szCs w:val="24"/>
        </w:rPr>
        <w:t>Consumables and Activities Policy</w:t>
      </w:r>
      <w:r w:rsidRPr="0031608E">
        <w:rPr>
          <w:sz w:val="24"/>
          <w:szCs w:val="24"/>
        </w:rPr>
        <w:t>.</w:t>
      </w:r>
    </w:p>
    <w:p w14:paraId="7691A866" w14:textId="77777777" w:rsidR="00D61829" w:rsidRDefault="00D61829" w:rsidP="00D61829">
      <w:pPr>
        <w:numPr>
          <w:ilvl w:val="0"/>
          <w:numId w:val="4"/>
        </w:numPr>
        <w:rPr>
          <w:sz w:val="24"/>
          <w:szCs w:val="24"/>
        </w:rPr>
      </w:pPr>
      <w:r w:rsidRPr="0031608E">
        <w:rPr>
          <w:sz w:val="24"/>
          <w:szCs w:val="24"/>
        </w:rPr>
        <w:t xml:space="preserve">Additional services such as meals, consumables, enrichment experiences, and extended hours are charged separately. Further details can be found in our </w:t>
      </w:r>
      <w:r w:rsidRPr="0031608E">
        <w:rPr>
          <w:b/>
          <w:bCs/>
          <w:sz w:val="24"/>
          <w:szCs w:val="24"/>
        </w:rPr>
        <w:t>Fees Explained</w:t>
      </w:r>
      <w:r w:rsidRPr="0031608E">
        <w:rPr>
          <w:sz w:val="24"/>
          <w:szCs w:val="24"/>
        </w:rPr>
        <w:t xml:space="preserve"> document.</w:t>
      </w:r>
    </w:p>
    <w:p w14:paraId="749B5D19" w14:textId="6187D986" w:rsidR="005376FF" w:rsidRPr="0031608E" w:rsidRDefault="005376FF" w:rsidP="00D61829">
      <w:pPr>
        <w:numPr>
          <w:ilvl w:val="0"/>
          <w:numId w:val="4"/>
        </w:numPr>
        <w:rPr>
          <w:sz w:val="24"/>
          <w:szCs w:val="24"/>
        </w:rPr>
      </w:pPr>
      <w:r>
        <w:rPr>
          <w:sz w:val="24"/>
          <w:szCs w:val="24"/>
        </w:rPr>
        <w:t xml:space="preserve">Places are offered on availability. </w:t>
      </w:r>
    </w:p>
    <w:p w14:paraId="55F71A5C" w14:textId="54024438" w:rsidR="006E1267" w:rsidRPr="0031608E" w:rsidRDefault="00AB1760">
      <w:pPr>
        <w:rPr>
          <w:b/>
          <w:bCs/>
          <w:sz w:val="24"/>
          <w:szCs w:val="24"/>
          <w:u w:val="single"/>
        </w:rPr>
      </w:pPr>
      <w:r w:rsidRPr="0031608E">
        <w:rPr>
          <w:b/>
          <w:bCs/>
          <w:sz w:val="24"/>
          <w:szCs w:val="24"/>
          <w:u w:val="single"/>
        </w:rPr>
        <w:t>Enquiries about</w:t>
      </w:r>
      <w:r w:rsidR="006E1267" w:rsidRPr="0031608E">
        <w:rPr>
          <w:b/>
          <w:bCs/>
          <w:sz w:val="24"/>
          <w:szCs w:val="24"/>
          <w:u w:val="single"/>
        </w:rPr>
        <w:t xml:space="preserve"> Government-Funded Entitlement </w:t>
      </w:r>
    </w:p>
    <w:p w14:paraId="41E5F366" w14:textId="77777777" w:rsidR="00F330E3" w:rsidRPr="0031608E" w:rsidRDefault="00F330E3" w:rsidP="00F330E3">
      <w:pPr>
        <w:rPr>
          <w:sz w:val="24"/>
          <w:szCs w:val="24"/>
        </w:rPr>
      </w:pPr>
      <w:r w:rsidRPr="0031608E">
        <w:rPr>
          <w:sz w:val="24"/>
          <w:szCs w:val="24"/>
        </w:rPr>
        <w:t>If you believe your funded entitlement has not been applied correctly, please follow the procedure below:</w:t>
      </w:r>
    </w:p>
    <w:p w14:paraId="2DB76D31" w14:textId="6E48ABB4" w:rsidR="00F330E3" w:rsidRPr="0031608E" w:rsidRDefault="00F330E3" w:rsidP="00F330E3">
      <w:pPr>
        <w:numPr>
          <w:ilvl w:val="0"/>
          <w:numId w:val="5"/>
        </w:numPr>
        <w:rPr>
          <w:sz w:val="24"/>
          <w:szCs w:val="24"/>
        </w:rPr>
      </w:pPr>
      <w:r w:rsidRPr="0031608E">
        <w:rPr>
          <w:sz w:val="24"/>
          <w:szCs w:val="24"/>
        </w:rPr>
        <w:t xml:space="preserve">Submit your </w:t>
      </w:r>
      <w:r w:rsidR="00930709" w:rsidRPr="0031608E">
        <w:rPr>
          <w:sz w:val="24"/>
          <w:szCs w:val="24"/>
        </w:rPr>
        <w:t>query</w:t>
      </w:r>
      <w:r w:rsidRPr="0031608E">
        <w:rPr>
          <w:sz w:val="24"/>
          <w:szCs w:val="24"/>
        </w:rPr>
        <w:t xml:space="preserve"> in writing to the </w:t>
      </w:r>
      <w:r w:rsidRPr="0031608E">
        <w:rPr>
          <w:b/>
          <w:bCs/>
          <w:sz w:val="24"/>
          <w:szCs w:val="24"/>
        </w:rPr>
        <w:t>Nursery Manager</w:t>
      </w:r>
      <w:r w:rsidRPr="0031608E">
        <w:rPr>
          <w:sz w:val="24"/>
          <w:szCs w:val="24"/>
        </w:rPr>
        <w:t>.</w:t>
      </w:r>
    </w:p>
    <w:p w14:paraId="1016E221" w14:textId="453CFA8D" w:rsidR="00DC4214" w:rsidRPr="00DC4214" w:rsidRDefault="00970107" w:rsidP="00DC4214">
      <w:pPr>
        <w:ind w:left="1440"/>
        <w:rPr>
          <w:sz w:val="24"/>
          <w:szCs w:val="24"/>
        </w:rPr>
      </w:pPr>
      <w:r w:rsidRPr="0031608E">
        <w:rPr>
          <w:b/>
          <w:bCs/>
          <w:sz w:val="24"/>
          <w:szCs w:val="24"/>
        </w:rPr>
        <w:t xml:space="preserve">Alphabet Day </w:t>
      </w:r>
      <w:proofErr w:type="gramStart"/>
      <w:r w:rsidRPr="0031608E">
        <w:rPr>
          <w:b/>
          <w:bCs/>
          <w:sz w:val="24"/>
          <w:szCs w:val="24"/>
        </w:rPr>
        <w:t xml:space="preserve">Nursery </w:t>
      </w:r>
      <w:r w:rsidR="00F330E3" w:rsidRPr="0031608E">
        <w:rPr>
          <w:b/>
          <w:bCs/>
          <w:sz w:val="24"/>
          <w:szCs w:val="24"/>
        </w:rPr>
        <w:t>:</w:t>
      </w:r>
      <w:proofErr w:type="gramEnd"/>
      <w:r w:rsidR="00F330E3" w:rsidRPr="0031608E">
        <w:rPr>
          <w:sz w:val="24"/>
          <w:szCs w:val="24"/>
        </w:rPr>
        <w:t xml:space="preserve"> </w:t>
      </w:r>
      <w:hyperlink r:id="rId7" w:history="1">
        <w:r w:rsidR="00DC4214" w:rsidRPr="002F2422">
          <w:rPr>
            <w:rStyle w:val="Hyperlink"/>
            <w:sz w:val="24"/>
            <w:szCs w:val="24"/>
          </w:rPr>
          <w:t>info@alphabet-daynursery.co.uk</w:t>
        </w:r>
      </w:hyperlink>
    </w:p>
    <w:p w14:paraId="58EDD2DF" w14:textId="77777777" w:rsidR="00DC4214" w:rsidRPr="00E80250" w:rsidRDefault="00DC4214" w:rsidP="00DC4214">
      <w:pPr>
        <w:spacing w:after="0" w:line="240" w:lineRule="auto"/>
        <w:rPr>
          <w:rFonts w:ascii="Arial" w:eastAsia="Times New Roman" w:hAnsi="Arial" w:cs="Arial"/>
          <w:color w:val="98A0A2"/>
          <w:sz w:val="24"/>
          <w:szCs w:val="24"/>
        </w:rPr>
      </w:pPr>
    </w:p>
    <w:p w14:paraId="36BF8868" w14:textId="77777777" w:rsidR="00DC4214" w:rsidRPr="00E80250" w:rsidRDefault="00DC4214" w:rsidP="00DC4214">
      <w:pPr>
        <w:spacing w:after="0" w:line="240" w:lineRule="auto"/>
        <w:rPr>
          <w:rFonts w:ascii="Arial" w:eastAsia="Times New Roman" w:hAnsi="Arial" w:cs="Arial"/>
          <w:color w:val="98A0A2"/>
          <w:sz w:val="24"/>
          <w:szCs w:val="24"/>
        </w:rPr>
      </w:pPr>
    </w:p>
    <w:p w14:paraId="6CE0DDFD" w14:textId="77777777" w:rsidR="00DC4214" w:rsidRPr="00E80250" w:rsidRDefault="00DC4214" w:rsidP="00DC4214">
      <w:pPr>
        <w:spacing w:after="0" w:line="240" w:lineRule="auto"/>
        <w:rPr>
          <w:rFonts w:ascii="Arial" w:eastAsia="Times New Roman" w:hAnsi="Arial" w:cs="Arial"/>
          <w:color w:val="98A0A2"/>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42"/>
        <w:gridCol w:w="4784"/>
      </w:tblGrid>
      <w:tr w:rsidR="00DC4214" w:rsidRPr="00E80250" w14:paraId="47B33CC3" w14:textId="77777777" w:rsidTr="00E25DDB">
        <w:trPr>
          <w:trHeight w:val="454"/>
        </w:trPr>
        <w:tc>
          <w:tcPr>
            <w:tcW w:w="4608" w:type="dxa"/>
            <w:vMerge w:val="restart"/>
            <w:tcBorders>
              <w:top w:val="nil"/>
              <w:left w:val="nil"/>
              <w:right w:val="nil"/>
            </w:tcBorders>
          </w:tcPr>
          <w:p w14:paraId="09B11572" w14:textId="77777777" w:rsidR="00DC4214" w:rsidRPr="00E80250" w:rsidRDefault="00DC4214" w:rsidP="00E25DDB">
            <w:pPr>
              <w:pStyle w:val="Header"/>
              <w:rPr>
                <w:rFonts w:ascii="Arial" w:hAnsi="Arial" w:cs="Arial"/>
                <w:b/>
                <w:sz w:val="24"/>
                <w:szCs w:val="24"/>
              </w:rPr>
            </w:pPr>
            <w:r w:rsidRPr="00E80250">
              <w:rPr>
                <w:rFonts w:ascii="Arial" w:hAnsi="Arial" w:cs="Arial"/>
                <w:b/>
                <w:sz w:val="24"/>
                <w:szCs w:val="24"/>
              </w:rPr>
              <w:t xml:space="preserve">Signed on behalf of the </w:t>
            </w:r>
          </w:p>
          <w:p w14:paraId="6990647E" w14:textId="77777777" w:rsidR="00DC4214" w:rsidRPr="00E80250" w:rsidRDefault="00DC4214" w:rsidP="00E25DDB">
            <w:pPr>
              <w:pStyle w:val="Header"/>
              <w:rPr>
                <w:rFonts w:ascii="Arial" w:hAnsi="Arial" w:cs="Arial"/>
                <w:sz w:val="24"/>
                <w:szCs w:val="24"/>
              </w:rPr>
            </w:pPr>
            <w:r w:rsidRPr="00E80250">
              <w:rPr>
                <w:rFonts w:ascii="Arial" w:hAnsi="Arial" w:cs="Arial"/>
                <w:b/>
                <w:sz w:val="24"/>
                <w:szCs w:val="24"/>
              </w:rPr>
              <w:t>Management Committee / Proprietor:</w:t>
            </w:r>
          </w:p>
        </w:tc>
        <w:tc>
          <w:tcPr>
            <w:tcW w:w="5247" w:type="dxa"/>
            <w:tcBorders>
              <w:top w:val="nil"/>
              <w:left w:val="nil"/>
              <w:bottom w:val="dashSmallGap" w:sz="4" w:space="0" w:color="auto"/>
              <w:right w:val="nil"/>
            </w:tcBorders>
            <w:vAlign w:val="bottom"/>
          </w:tcPr>
          <w:p w14:paraId="636C2ACF" w14:textId="77777777" w:rsidR="00DC4214" w:rsidRPr="00E80250" w:rsidRDefault="00DC4214" w:rsidP="00E25DDB">
            <w:pPr>
              <w:pStyle w:val="Header"/>
              <w:jc w:val="center"/>
              <w:rPr>
                <w:rFonts w:ascii="Arial" w:hAnsi="Arial" w:cs="Arial"/>
                <w:i/>
                <w:sz w:val="24"/>
                <w:szCs w:val="24"/>
              </w:rPr>
            </w:pPr>
            <w:r w:rsidRPr="00E80250">
              <w:rPr>
                <w:rFonts w:ascii="Arial" w:hAnsi="Arial" w:cs="Arial"/>
                <w:i/>
                <w:sz w:val="24"/>
                <w:szCs w:val="24"/>
              </w:rPr>
              <w:t>Roshani Dasanayake</w:t>
            </w:r>
          </w:p>
        </w:tc>
      </w:tr>
      <w:tr w:rsidR="00DC4214" w:rsidRPr="00E80250" w14:paraId="26069BD2" w14:textId="77777777" w:rsidTr="00E25DDB">
        <w:trPr>
          <w:trHeight w:val="454"/>
        </w:trPr>
        <w:tc>
          <w:tcPr>
            <w:tcW w:w="4608" w:type="dxa"/>
            <w:vMerge/>
            <w:tcBorders>
              <w:left w:val="nil"/>
              <w:bottom w:val="nil"/>
              <w:right w:val="nil"/>
            </w:tcBorders>
          </w:tcPr>
          <w:p w14:paraId="422EDE74" w14:textId="77777777" w:rsidR="00DC4214" w:rsidRPr="00E80250" w:rsidRDefault="00DC4214" w:rsidP="00E25DDB">
            <w:pPr>
              <w:pStyle w:val="Header"/>
              <w:rPr>
                <w:rFonts w:ascii="Arial" w:hAnsi="Arial" w:cs="Arial"/>
                <w:sz w:val="24"/>
                <w:szCs w:val="24"/>
              </w:rPr>
            </w:pPr>
          </w:p>
        </w:tc>
        <w:tc>
          <w:tcPr>
            <w:tcW w:w="5247" w:type="dxa"/>
            <w:tcBorders>
              <w:top w:val="dashSmallGap" w:sz="4" w:space="0" w:color="auto"/>
              <w:left w:val="nil"/>
              <w:bottom w:val="dashSmallGap" w:sz="4" w:space="0" w:color="auto"/>
              <w:right w:val="nil"/>
            </w:tcBorders>
            <w:vAlign w:val="bottom"/>
          </w:tcPr>
          <w:p w14:paraId="1B18EB46" w14:textId="77777777" w:rsidR="00DC4214" w:rsidRPr="00E80250" w:rsidRDefault="00DC4214" w:rsidP="00E25DDB">
            <w:pPr>
              <w:pStyle w:val="Header"/>
              <w:jc w:val="center"/>
              <w:rPr>
                <w:rFonts w:ascii="Arial" w:hAnsi="Arial" w:cs="Arial"/>
                <w:i/>
                <w:sz w:val="24"/>
                <w:szCs w:val="24"/>
              </w:rPr>
            </w:pPr>
            <w:r w:rsidRPr="00E80250">
              <w:rPr>
                <w:rFonts w:ascii="Arial" w:hAnsi="Arial" w:cs="Arial"/>
                <w:i/>
                <w:sz w:val="24"/>
                <w:szCs w:val="24"/>
              </w:rPr>
              <w:t xml:space="preserve">Proprietor </w:t>
            </w:r>
          </w:p>
        </w:tc>
      </w:tr>
    </w:tbl>
    <w:p w14:paraId="66949463" w14:textId="77777777" w:rsidR="00DC4214" w:rsidRPr="00E80250" w:rsidRDefault="00DC4214" w:rsidP="00DC4214">
      <w:pPr>
        <w:pStyle w:val="ListParagraph"/>
        <w:spacing w:after="0" w:line="240" w:lineRule="auto"/>
        <w:rPr>
          <w:rFonts w:ascii="Arial" w:eastAsia="Times New Roman" w:hAnsi="Arial" w:cs="Arial"/>
          <w:color w:val="98A0A2"/>
          <w:sz w:val="24"/>
          <w:szCs w:val="24"/>
        </w:rPr>
      </w:pPr>
    </w:p>
    <w:p w14:paraId="6D0D96A5" w14:textId="77777777" w:rsidR="00DC4214" w:rsidRPr="00E80250" w:rsidRDefault="00DC4214" w:rsidP="00DC4214">
      <w:pPr>
        <w:spacing w:after="0" w:line="240" w:lineRule="auto"/>
        <w:rPr>
          <w:rFonts w:ascii="Arial" w:eastAsia="Times New Roman" w:hAnsi="Arial" w:cs="Arial"/>
          <w:color w:val="98A0A2"/>
          <w:sz w:val="24"/>
          <w:szCs w:val="24"/>
        </w:rPr>
      </w:pPr>
    </w:p>
    <w:p w14:paraId="3D591B5F" w14:textId="77777777" w:rsidR="00DC4214" w:rsidRPr="00E80250" w:rsidRDefault="00DC4214" w:rsidP="00DC4214">
      <w:pPr>
        <w:spacing w:after="0" w:line="240" w:lineRule="auto"/>
        <w:rPr>
          <w:rFonts w:ascii="Arial" w:eastAsia="Times New Roman" w:hAnsi="Arial" w:cs="Arial"/>
          <w:color w:val="98A0A2"/>
          <w:sz w:val="24"/>
          <w:szCs w:val="24"/>
        </w:rPr>
      </w:pPr>
      <w:r w:rsidRPr="00E80250">
        <w:rPr>
          <w:rFonts w:ascii="Arial" w:eastAsia="Times New Roman" w:hAnsi="Arial" w:cs="Arial"/>
          <w:color w:val="98A0A2"/>
          <w:sz w:val="24"/>
          <w:szCs w:val="24"/>
        </w:rPr>
        <w:t>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71"/>
        <w:gridCol w:w="1996"/>
        <w:gridCol w:w="342"/>
        <w:gridCol w:w="4717"/>
      </w:tblGrid>
      <w:tr w:rsidR="00DC4214" w:rsidRPr="00E80250" w14:paraId="2992968E" w14:textId="77777777" w:rsidTr="00E25DDB">
        <w:trPr>
          <w:trHeight w:val="454"/>
        </w:trPr>
        <w:tc>
          <w:tcPr>
            <w:tcW w:w="2000" w:type="dxa"/>
            <w:tcBorders>
              <w:top w:val="nil"/>
              <w:left w:val="nil"/>
              <w:bottom w:val="nil"/>
              <w:right w:val="nil"/>
            </w:tcBorders>
            <w:vAlign w:val="bottom"/>
          </w:tcPr>
          <w:p w14:paraId="1E7BE6DA" w14:textId="77777777" w:rsidR="00DC4214" w:rsidRPr="00E80250" w:rsidRDefault="00DC4214" w:rsidP="00E25DDB">
            <w:pPr>
              <w:pStyle w:val="Header"/>
              <w:spacing w:before="60" w:after="60"/>
              <w:rPr>
                <w:rFonts w:ascii="Arial" w:hAnsi="Arial" w:cs="Arial"/>
                <w:b/>
                <w:sz w:val="24"/>
                <w:szCs w:val="24"/>
              </w:rPr>
            </w:pPr>
            <w:r w:rsidRPr="00E80250">
              <w:rPr>
                <w:rFonts w:ascii="Arial" w:hAnsi="Arial" w:cs="Arial"/>
                <w:b/>
                <w:sz w:val="24"/>
                <w:szCs w:val="24"/>
              </w:rPr>
              <w:t>This policy was reviewed on:</w:t>
            </w:r>
          </w:p>
        </w:tc>
        <w:tc>
          <w:tcPr>
            <w:tcW w:w="2033" w:type="dxa"/>
            <w:tcBorders>
              <w:top w:val="nil"/>
              <w:left w:val="nil"/>
              <w:bottom w:val="dashSmallGap" w:sz="4" w:space="0" w:color="auto"/>
              <w:right w:val="nil"/>
            </w:tcBorders>
            <w:vAlign w:val="bottom"/>
          </w:tcPr>
          <w:p w14:paraId="1253FCC9" w14:textId="2D35A6C4" w:rsidR="00DC4214" w:rsidRPr="00E80250" w:rsidRDefault="00DC4214" w:rsidP="00E25DDB">
            <w:pPr>
              <w:pStyle w:val="Header"/>
              <w:jc w:val="center"/>
              <w:rPr>
                <w:rFonts w:ascii="Arial" w:hAnsi="Arial" w:cs="Arial"/>
                <w:i/>
                <w:sz w:val="24"/>
                <w:szCs w:val="24"/>
              </w:rPr>
            </w:pPr>
            <w:r>
              <w:rPr>
                <w:rFonts w:ascii="Arial" w:hAnsi="Arial" w:cs="Arial"/>
                <w:i/>
                <w:sz w:val="24"/>
                <w:szCs w:val="24"/>
              </w:rPr>
              <w:t>January</w:t>
            </w:r>
            <w:r w:rsidRPr="00E80250">
              <w:rPr>
                <w:rFonts w:ascii="Arial" w:hAnsi="Arial" w:cs="Arial"/>
                <w:i/>
                <w:sz w:val="24"/>
                <w:szCs w:val="24"/>
              </w:rPr>
              <w:t xml:space="preserve"> 202</w:t>
            </w:r>
            <w:r>
              <w:rPr>
                <w:rFonts w:ascii="Arial" w:hAnsi="Arial" w:cs="Arial"/>
                <w:i/>
                <w:sz w:val="24"/>
                <w:szCs w:val="24"/>
              </w:rPr>
              <w:t>6</w:t>
            </w:r>
          </w:p>
        </w:tc>
        <w:tc>
          <w:tcPr>
            <w:tcW w:w="347" w:type="dxa"/>
            <w:tcBorders>
              <w:top w:val="nil"/>
              <w:left w:val="nil"/>
              <w:bottom w:val="nil"/>
              <w:right w:val="nil"/>
            </w:tcBorders>
            <w:vAlign w:val="bottom"/>
          </w:tcPr>
          <w:p w14:paraId="3B15585A" w14:textId="77777777" w:rsidR="00DC4214" w:rsidRPr="00E80250" w:rsidRDefault="00DC4214" w:rsidP="00E25DDB">
            <w:pPr>
              <w:pStyle w:val="Header"/>
              <w:jc w:val="center"/>
              <w:rPr>
                <w:rFonts w:ascii="Arial" w:hAnsi="Arial" w:cs="Arial"/>
                <w:i/>
                <w:sz w:val="24"/>
                <w:szCs w:val="24"/>
              </w:rPr>
            </w:pPr>
          </w:p>
        </w:tc>
        <w:tc>
          <w:tcPr>
            <w:tcW w:w="4862" w:type="dxa"/>
            <w:tcBorders>
              <w:top w:val="nil"/>
              <w:left w:val="nil"/>
              <w:bottom w:val="dashSmallGap" w:sz="4" w:space="0" w:color="auto"/>
              <w:right w:val="nil"/>
            </w:tcBorders>
            <w:vAlign w:val="bottom"/>
          </w:tcPr>
          <w:p w14:paraId="3CEB4A6A" w14:textId="255F03F8" w:rsidR="00DC4214" w:rsidRPr="00E80250" w:rsidRDefault="00DC4214" w:rsidP="00E25DDB">
            <w:pPr>
              <w:pStyle w:val="Header"/>
              <w:jc w:val="center"/>
              <w:rPr>
                <w:rFonts w:ascii="Arial" w:hAnsi="Arial" w:cs="Arial"/>
                <w:i/>
                <w:sz w:val="24"/>
                <w:szCs w:val="24"/>
              </w:rPr>
            </w:pPr>
            <w:r>
              <w:rPr>
                <w:rFonts w:ascii="Arial" w:hAnsi="Arial" w:cs="Arial"/>
                <w:i/>
                <w:sz w:val="24"/>
                <w:szCs w:val="24"/>
              </w:rPr>
              <w:t>Kirsty Stanyon</w:t>
            </w:r>
          </w:p>
        </w:tc>
      </w:tr>
    </w:tbl>
    <w:p w14:paraId="4599FBE5" w14:textId="7095E7AE" w:rsidR="00463877" w:rsidRDefault="00463877" w:rsidP="00F330E3"/>
    <w:sectPr w:rsidR="00463877">
      <w:head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956AD3" w14:textId="77777777" w:rsidR="00220812" w:rsidRDefault="00220812">
      <w:pPr>
        <w:spacing w:after="0" w:line="240" w:lineRule="auto"/>
      </w:pPr>
    </w:p>
  </w:endnote>
  <w:endnote w:type="continuationSeparator" w:id="0">
    <w:p w14:paraId="2EA4F646" w14:textId="77777777" w:rsidR="00220812" w:rsidRDefault="0022081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DDA859" w14:textId="77777777" w:rsidR="00220812" w:rsidRDefault="00220812">
      <w:pPr>
        <w:spacing w:after="0" w:line="240" w:lineRule="auto"/>
      </w:pPr>
    </w:p>
  </w:footnote>
  <w:footnote w:type="continuationSeparator" w:id="0">
    <w:p w14:paraId="41AD34C8" w14:textId="77777777" w:rsidR="00220812" w:rsidRDefault="00220812">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2FB8C8" w14:textId="567BE3B4" w:rsidR="0031608E" w:rsidRDefault="0031608E" w:rsidP="0031608E">
    <w:pPr>
      <w:pStyle w:val="Header"/>
      <w:jc w:val="right"/>
    </w:pPr>
    <w:r>
      <w:rPr>
        <w:noProof/>
      </w:rPr>
      <w:drawing>
        <wp:anchor distT="0" distB="0" distL="114300" distR="114300" simplePos="0" relativeHeight="251658240" behindDoc="0" locked="0" layoutInCell="1" allowOverlap="1" wp14:anchorId="1313ABFC" wp14:editId="2870E948">
          <wp:simplePos x="0" y="0"/>
          <wp:positionH relativeFrom="margin">
            <wp:align>right</wp:align>
          </wp:positionH>
          <wp:positionV relativeFrom="paragraph">
            <wp:posOffset>-317500</wp:posOffset>
          </wp:positionV>
          <wp:extent cx="1402080" cy="579120"/>
          <wp:effectExtent l="0" t="0" r="7620" b="0"/>
          <wp:wrapSquare wrapText="bothSides"/>
          <wp:docPr id="31150862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02080" cy="579120"/>
                  </a:xfrm>
                  <a:prstGeom prst="rect">
                    <a:avLst/>
                  </a:prstGeom>
                  <a:noFill/>
                </pic:spPr>
              </pic:pic>
            </a:graphicData>
          </a:graphic>
        </wp:anchor>
      </w:drawing>
    </w:r>
  </w:p>
  <w:p w14:paraId="59FA99BA" w14:textId="77777777" w:rsidR="0031608E" w:rsidRDefault="0031608E" w:rsidP="0031608E">
    <w:pPr>
      <w:pStyle w:val="Header"/>
      <w:jc w:val="right"/>
    </w:pPr>
  </w:p>
  <w:p w14:paraId="6A522ACB" w14:textId="1C934CEB" w:rsidR="0031608E" w:rsidRDefault="0031608E" w:rsidP="0031608E">
    <w:pPr>
      <w:pStyle w:val="Header"/>
      <w:jc w:val="right"/>
    </w:pPr>
    <w:r>
      <w:t>Ofsted: 2749735</w:t>
    </w:r>
  </w:p>
  <w:p w14:paraId="54408AC0" w14:textId="03955991" w:rsidR="0031608E" w:rsidRDefault="0031608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1442C9"/>
    <w:multiLevelType w:val="multilevel"/>
    <w:tmpl w:val="CFE8B3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A0C6B75"/>
    <w:multiLevelType w:val="multilevel"/>
    <w:tmpl w:val="728A78A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CCC6BA8"/>
    <w:multiLevelType w:val="hybridMultilevel"/>
    <w:tmpl w:val="92CE86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83E350E"/>
    <w:multiLevelType w:val="multilevel"/>
    <w:tmpl w:val="2A50BB2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49115693"/>
    <w:multiLevelType w:val="multilevel"/>
    <w:tmpl w:val="3012866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2089495505">
    <w:abstractNumId w:val="2"/>
  </w:num>
  <w:num w:numId="2" w16cid:durableId="1942908033">
    <w:abstractNumId w:val="3"/>
  </w:num>
  <w:num w:numId="3" w16cid:durableId="1462461151">
    <w:abstractNumId w:val="4"/>
  </w:num>
  <w:num w:numId="4" w16cid:durableId="522745921">
    <w:abstractNumId w:val="0"/>
  </w:num>
  <w:num w:numId="5" w16cid:durableId="131360805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1267"/>
    <w:rsid w:val="00001F2B"/>
    <w:rsid w:val="00030E90"/>
    <w:rsid w:val="00031BF1"/>
    <w:rsid w:val="000A6B46"/>
    <w:rsid w:val="000B1DA1"/>
    <w:rsid w:val="000D12EE"/>
    <w:rsid w:val="000E2DA5"/>
    <w:rsid w:val="00114D87"/>
    <w:rsid w:val="001A77C5"/>
    <w:rsid w:val="00220812"/>
    <w:rsid w:val="00224EA9"/>
    <w:rsid w:val="002E3A0B"/>
    <w:rsid w:val="002E5514"/>
    <w:rsid w:val="0031608E"/>
    <w:rsid w:val="0032796D"/>
    <w:rsid w:val="00334A8C"/>
    <w:rsid w:val="00430067"/>
    <w:rsid w:val="00452262"/>
    <w:rsid w:val="0046244A"/>
    <w:rsid w:val="00463877"/>
    <w:rsid w:val="004B1425"/>
    <w:rsid w:val="004E366B"/>
    <w:rsid w:val="00500882"/>
    <w:rsid w:val="005376FF"/>
    <w:rsid w:val="00663D2D"/>
    <w:rsid w:val="00666F63"/>
    <w:rsid w:val="00694A36"/>
    <w:rsid w:val="006C0B28"/>
    <w:rsid w:val="006E1267"/>
    <w:rsid w:val="006E3D67"/>
    <w:rsid w:val="006E4E43"/>
    <w:rsid w:val="006F55CC"/>
    <w:rsid w:val="00757E54"/>
    <w:rsid w:val="0078328C"/>
    <w:rsid w:val="007C37FA"/>
    <w:rsid w:val="00886F71"/>
    <w:rsid w:val="00896030"/>
    <w:rsid w:val="00906FC1"/>
    <w:rsid w:val="00914F6A"/>
    <w:rsid w:val="00930709"/>
    <w:rsid w:val="00970107"/>
    <w:rsid w:val="009A2FF9"/>
    <w:rsid w:val="00A00A4A"/>
    <w:rsid w:val="00A078DE"/>
    <w:rsid w:val="00A36FFB"/>
    <w:rsid w:val="00AB1760"/>
    <w:rsid w:val="00AB2932"/>
    <w:rsid w:val="00AE16EB"/>
    <w:rsid w:val="00AF6492"/>
    <w:rsid w:val="00B104F4"/>
    <w:rsid w:val="00B208DF"/>
    <w:rsid w:val="00B55733"/>
    <w:rsid w:val="00B67E5A"/>
    <w:rsid w:val="00B7123E"/>
    <w:rsid w:val="00BB247C"/>
    <w:rsid w:val="00CA6FBD"/>
    <w:rsid w:val="00CD1900"/>
    <w:rsid w:val="00CD4912"/>
    <w:rsid w:val="00D61829"/>
    <w:rsid w:val="00DC40A2"/>
    <w:rsid w:val="00DC4214"/>
    <w:rsid w:val="00DC78D5"/>
    <w:rsid w:val="00DC7B46"/>
    <w:rsid w:val="00E81311"/>
    <w:rsid w:val="00E95F60"/>
    <w:rsid w:val="00E9620C"/>
    <w:rsid w:val="00EC5CDC"/>
    <w:rsid w:val="00F330E3"/>
    <w:rsid w:val="00F552FB"/>
    <w:rsid w:val="00F564E0"/>
    <w:rsid w:val="00F739D3"/>
    <w:rsid w:val="00F92E9D"/>
    <w:rsid w:val="00FA723A"/>
    <w:rsid w:val="00FD6D1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C924C65"/>
  <w15:chartTrackingRefBased/>
  <w15:docId w15:val="{D4DE31D3-56A3-455B-932D-4D4FCD39C8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E126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E126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E126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E126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E126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E126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E126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E126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E126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E126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E126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E126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E126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E126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E126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E126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E126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E1267"/>
    <w:rPr>
      <w:rFonts w:eastAsiaTheme="majorEastAsia" w:cstheme="majorBidi"/>
      <w:color w:val="272727" w:themeColor="text1" w:themeTint="D8"/>
    </w:rPr>
  </w:style>
  <w:style w:type="paragraph" w:styleId="Title">
    <w:name w:val="Title"/>
    <w:basedOn w:val="Normal"/>
    <w:next w:val="Normal"/>
    <w:link w:val="TitleChar"/>
    <w:uiPriority w:val="10"/>
    <w:qFormat/>
    <w:rsid w:val="006E126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E126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E126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E126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E1267"/>
    <w:pPr>
      <w:spacing w:before="160"/>
      <w:jc w:val="center"/>
    </w:pPr>
    <w:rPr>
      <w:i/>
      <w:iCs/>
      <w:color w:val="404040" w:themeColor="text1" w:themeTint="BF"/>
    </w:rPr>
  </w:style>
  <w:style w:type="character" w:customStyle="1" w:styleId="QuoteChar">
    <w:name w:val="Quote Char"/>
    <w:basedOn w:val="DefaultParagraphFont"/>
    <w:link w:val="Quote"/>
    <w:uiPriority w:val="29"/>
    <w:rsid w:val="006E1267"/>
    <w:rPr>
      <w:i/>
      <w:iCs/>
      <w:color w:val="404040" w:themeColor="text1" w:themeTint="BF"/>
    </w:rPr>
  </w:style>
  <w:style w:type="paragraph" w:styleId="ListParagraph">
    <w:name w:val="List Paragraph"/>
    <w:basedOn w:val="Normal"/>
    <w:uiPriority w:val="99"/>
    <w:qFormat/>
    <w:rsid w:val="006E1267"/>
    <w:pPr>
      <w:ind w:left="720"/>
      <w:contextualSpacing/>
    </w:pPr>
  </w:style>
  <w:style w:type="character" w:styleId="IntenseEmphasis">
    <w:name w:val="Intense Emphasis"/>
    <w:basedOn w:val="DefaultParagraphFont"/>
    <w:uiPriority w:val="21"/>
    <w:qFormat/>
    <w:rsid w:val="006E1267"/>
    <w:rPr>
      <w:i/>
      <w:iCs/>
      <w:color w:val="0F4761" w:themeColor="accent1" w:themeShade="BF"/>
    </w:rPr>
  </w:style>
  <w:style w:type="paragraph" w:styleId="IntenseQuote">
    <w:name w:val="Intense Quote"/>
    <w:basedOn w:val="Normal"/>
    <w:next w:val="Normal"/>
    <w:link w:val="IntenseQuoteChar"/>
    <w:uiPriority w:val="30"/>
    <w:qFormat/>
    <w:rsid w:val="006E126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E1267"/>
    <w:rPr>
      <w:i/>
      <w:iCs/>
      <w:color w:val="0F4761" w:themeColor="accent1" w:themeShade="BF"/>
    </w:rPr>
  </w:style>
  <w:style w:type="character" w:styleId="IntenseReference">
    <w:name w:val="Intense Reference"/>
    <w:basedOn w:val="DefaultParagraphFont"/>
    <w:uiPriority w:val="32"/>
    <w:qFormat/>
    <w:rsid w:val="006E1267"/>
    <w:rPr>
      <w:b/>
      <w:bCs/>
      <w:smallCaps/>
      <w:color w:val="0F4761" w:themeColor="accent1" w:themeShade="BF"/>
      <w:spacing w:val="5"/>
    </w:rPr>
  </w:style>
  <w:style w:type="character" w:styleId="Hyperlink">
    <w:name w:val="Hyperlink"/>
    <w:basedOn w:val="DefaultParagraphFont"/>
    <w:uiPriority w:val="99"/>
    <w:unhideWhenUsed/>
    <w:rsid w:val="006E1267"/>
    <w:rPr>
      <w:color w:val="467886" w:themeColor="hyperlink"/>
      <w:u w:val="single"/>
    </w:rPr>
  </w:style>
  <w:style w:type="character" w:styleId="UnresolvedMention">
    <w:name w:val="Unresolved Mention"/>
    <w:basedOn w:val="DefaultParagraphFont"/>
    <w:uiPriority w:val="99"/>
    <w:semiHidden/>
    <w:unhideWhenUsed/>
    <w:rsid w:val="006E1267"/>
    <w:rPr>
      <w:color w:val="605E5C"/>
      <w:shd w:val="clear" w:color="auto" w:fill="E1DFDD"/>
    </w:rPr>
  </w:style>
  <w:style w:type="table" w:styleId="TableGrid">
    <w:name w:val="Table Grid"/>
    <w:basedOn w:val="TableNormal"/>
    <w:uiPriority w:val="39"/>
    <w:rsid w:val="00663D2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PlainTable3">
    <w:name w:val="Plain Table 3"/>
    <w:basedOn w:val="TableNormal"/>
    <w:uiPriority w:val="43"/>
    <w:rsid w:val="00663D2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paragraph" w:styleId="Header">
    <w:name w:val="header"/>
    <w:basedOn w:val="Normal"/>
    <w:link w:val="HeaderChar"/>
    <w:uiPriority w:val="99"/>
    <w:unhideWhenUsed/>
    <w:rsid w:val="00001F2B"/>
    <w:pPr>
      <w:tabs>
        <w:tab w:val="center" w:pos="4513"/>
        <w:tab w:val="right" w:pos="9026"/>
      </w:tabs>
      <w:spacing w:after="0" w:line="240" w:lineRule="auto"/>
    </w:pPr>
  </w:style>
  <w:style w:type="character" w:customStyle="1" w:styleId="HeaderChar">
    <w:name w:val="Header Char"/>
    <w:basedOn w:val="DefaultParagraphFont"/>
    <w:link w:val="Header"/>
    <w:uiPriority w:val="99"/>
    <w:rsid w:val="00001F2B"/>
  </w:style>
  <w:style w:type="paragraph" w:styleId="Footer">
    <w:name w:val="footer"/>
    <w:basedOn w:val="Normal"/>
    <w:link w:val="FooterChar"/>
    <w:uiPriority w:val="99"/>
    <w:unhideWhenUsed/>
    <w:rsid w:val="00001F2B"/>
    <w:pPr>
      <w:tabs>
        <w:tab w:val="center" w:pos="4513"/>
        <w:tab w:val="right" w:pos="9026"/>
      </w:tabs>
      <w:spacing w:after="0" w:line="240" w:lineRule="auto"/>
    </w:pPr>
  </w:style>
  <w:style w:type="character" w:customStyle="1" w:styleId="FooterChar">
    <w:name w:val="Footer Char"/>
    <w:basedOn w:val="DefaultParagraphFont"/>
    <w:link w:val="Footer"/>
    <w:uiPriority w:val="99"/>
    <w:rsid w:val="00001F2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info@alphabet-daynursery.co.u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544</Words>
  <Characters>3103</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Anura Dasanayake</dc:creator>
  <cp:keywords/>
  <dc:description/>
  <cp:lastModifiedBy>Anuki Dasanayake</cp:lastModifiedBy>
  <cp:revision>2</cp:revision>
  <cp:lastPrinted>2026-01-12T16:38:00Z</cp:lastPrinted>
  <dcterms:created xsi:type="dcterms:W3CDTF">2026-02-05T11:06:00Z</dcterms:created>
  <dcterms:modified xsi:type="dcterms:W3CDTF">2026-02-05T11:06:00Z</dcterms:modified>
</cp:coreProperties>
</file>